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11DA1" w:rsidP="00782FE4" w:rsidRDefault="00C11DA1" w14:paraId="09F4604C" w14:textId="6E7B0372">
      <w:pPr>
        <w:keepNext/>
        <w:keepLines/>
        <w:outlineLvl w:val="1"/>
        <w:rPr>
          <w:rFonts w:eastAsia="Times New Roman" w:asciiTheme="minorHAnsi" w:hAnsiTheme="minorHAnsi" w:cstheme="minorHAnsi"/>
          <w:color w:val="2F5496" w:themeColor="accent1" w:themeShade="BF"/>
          <w:sz w:val="26"/>
          <w:szCs w:val="26"/>
        </w:rPr>
      </w:pPr>
    </w:p>
    <w:p w:rsidRPr="0013674B" w:rsidR="00D763E4" w:rsidP="00782FE4" w:rsidRDefault="00D763E4" w14:paraId="7F1EF343" w14:textId="77777777">
      <w:pPr>
        <w:keepNext/>
        <w:keepLines/>
        <w:outlineLvl w:val="1"/>
        <w:rPr>
          <w:rFonts w:eastAsia="Times New Roman" w:asciiTheme="minorHAnsi" w:hAnsiTheme="minorHAnsi" w:cstheme="minorHAnsi"/>
          <w:color w:val="2F5496" w:themeColor="accent1" w:themeShade="BF"/>
          <w:sz w:val="26"/>
          <w:szCs w:val="26"/>
        </w:rPr>
      </w:pPr>
    </w:p>
    <w:p w:rsidRPr="00D963C8" w:rsidR="00C25283" w:rsidP="00D963C8" w:rsidRDefault="0032651D" w14:paraId="61673F42" w14:textId="77777777">
      <w:pPr>
        <w:spacing w:before="120"/>
        <w:jc w:val="center"/>
        <w:textAlignment w:val="baseline"/>
        <w:rPr>
          <w:rFonts w:eastAsia="Times New Roman" w:asciiTheme="minorHAnsi" w:hAnsiTheme="minorHAnsi" w:cstheme="minorHAnsi"/>
          <w:b/>
          <w:sz w:val="28"/>
          <w:szCs w:val="28"/>
        </w:rPr>
      </w:pPr>
      <w:r>
        <w:rPr>
          <w:rFonts w:eastAsia="Times New Roman" w:asciiTheme="minorHAnsi" w:hAnsiTheme="minorHAnsi" w:cstheme="minorHAnsi"/>
          <w:color w:val="2F5496" w:themeColor="accent1" w:themeShade="BF"/>
          <w:sz w:val="26"/>
          <w:szCs w:val="26"/>
        </w:rPr>
        <w:tab/>
      </w:r>
      <w:r>
        <w:rPr>
          <w:rFonts w:eastAsia="Times New Roman" w:asciiTheme="minorHAnsi" w:hAnsiTheme="minorHAnsi" w:cstheme="minorHAnsi"/>
          <w:sz w:val="28"/>
          <w:szCs w:val="28"/>
        </w:rPr>
        <w:t>Translating the SDG Framework in BiH in Bosnia and Herzegovina into sustainable and inclusive growth</w:t>
      </w:r>
    </w:p>
    <w:p w:rsidRPr="00D963C8" w:rsidR="00C25283" w:rsidP="00C25283" w:rsidRDefault="00FD2696" w14:paraId="50F2B2CC" w14:textId="77777777">
      <w:pPr>
        <w:spacing w:before="120"/>
        <w:ind w:left="2880" w:hanging="2880"/>
        <w:jc w:val="center"/>
        <w:textAlignment w:val="baseline"/>
        <w:rPr>
          <w:rFonts w:eastAsia="Times New Roman" w:asciiTheme="minorHAnsi" w:hAnsiTheme="minorHAnsi" w:cstheme="minorHAnsi"/>
          <w:b/>
          <w:sz w:val="28"/>
          <w:szCs w:val="28"/>
        </w:rPr>
      </w:pPr>
      <w:r>
        <w:rPr>
          <w:rFonts w:eastAsia="Times New Roman" w:asciiTheme="minorHAnsi" w:hAnsiTheme="minorHAnsi" w:cstheme="minorHAnsi"/>
          <w:sz w:val="28"/>
          <w:szCs w:val="28"/>
        </w:rPr>
        <w:t>BIH10/00128890</w:t>
      </w:r>
    </w:p>
    <w:p w:rsidRPr="00D963C8" w:rsidR="00C25283" w:rsidP="00C25283" w:rsidRDefault="00C25283" w14:paraId="09C22490" w14:textId="77777777">
      <w:pPr>
        <w:ind w:left="2880" w:hanging="2880"/>
        <w:jc w:val="center"/>
        <w:textAlignment w:val="baseline"/>
        <w:rPr>
          <w:rFonts w:eastAsia="Times New Roman" w:asciiTheme="minorHAnsi" w:hAnsiTheme="minorHAnsi" w:cstheme="minorHAnsi"/>
          <w:b/>
          <w:sz w:val="28"/>
          <w:szCs w:val="28"/>
        </w:rPr>
      </w:pPr>
    </w:p>
    <w:p w:rsidRPr="00D963C8" w:rsidR="00C25283" w:rsidP="00B75397" w:rsidRDefault="001F4042" w14:paraId="780163BA" w14:textId="77777777">
      <w:pPr>
        <w:spacing w:before="120"/>
        <w:ind w:left="2880" w:hanging="2880"/>
        <w:jc w:val="center"/>
        <w:textAlignment w:val="baseline"/>
        <w:rPr>
          <w:rFonts w:eastAsia="Times New Roman" w:asciiTheme="minorHAnsi" w:hAnsiTheme="minorHAnsi" w:cstheme="minorBidi"/>
          <w:b/>
          <w:sz w:val="32"/>
          <w:szCs w:val="32"/>
        </w:rPr>
      </w:pPr>
      <w:r>
        <w:rPr>
          <w:rFonts w:eastAsia="Times New Roman" w:asciiTheme="minorHAnsi" w:hAnsiTheme="minorHAnsi" w:cstheme="minorBidi"/>
          <w:sz w:val="32"/>
          <w:szCs w:val="32"/>
        </w:rPr>
        <w:t>Final Progress Report</w:t>
      </w:r>
    </w:p>
    <w:p w:rsidRPr="00D963C8" w:rsidR="00B75397" w:rsidP="00B75397" w:rsidRDefault="00B75397" w14:paraId="685BD858" w14:textId="77777777">
      <w:pPr>
        <w:spacing w:before="120"/>
        <w:jc w:val="center"/>
        <w:textAlignment w:val="baseline"/>
        <w:rPr>
          <w:rFonts w:eastAsia="Times New Roman" w:asciiTheme="minorHAnsi" w:hAnsiTheme="minorHAnsi" w:cstheme="minorHAnsi"/>
          <w:i/>
        </w:rPr>
      </w:pPr>
      <w:r>
        <w:rPr>
          <w:rFonts w:eastAsia="Times New Roman" w:asciiTheme="minorHAnsi" w:hAnsiTheme="minorHAnsi" w:cstheme="minorHAnsi"/>
          <w:i/>
        </w:rPr>
        <w:t>Reporting period:  April 2022 – February 2026</w:t>
      </w:r>
    </w:p>
    <w:p w:rsidRPr="000D10F6" w:rsidR="00B75397" w:rsidP="00C25283" w:rsidRDefault="00B75397" w14:paraId="268798E3" w14:textId="77777777">
      <w:pPr>
        <w:ind w:left="2880" w:hanging="2880"/>
        <w:jc w:val="center"/>
        <w:textAlignment w:val="baseline"/>
        <w:rPr>
          <w:rFonts w:eastAsia="Times New Roman" w:asciiTheme="minorHAnsi" w:hAnsiTheme="minorHAnsi" w:cstheme="minorHAnsi"/>
          <w:b/>
          <w:bCs/>
          <w:color w:val="2F5496" w:themeColor="accent1" w:themeShade="BF"/>
          <w:sz w:val="32"/>
          <w:szCs w:val="32"/>
        </w:rPr>
      </w:pPr>
    </w:p>
    <w:p w:rsidRPr="00C25283" w:rsidR="00C25283" w:rsidP="00C25283" w:rsidRDefault="00C25283" w14:paraId="3B010C0A" w14:textId="77777777">
      <w:pPr>
        <w:ind w:left="2880" w:hanging="2880"/>
        <w:jc w:val="center"/>
        <w:textAlignment w:val="baseline"/>
        <w:rPr>
          <w:rFonts w:eastAsia="Times New Roman" w:asciiTheme="minorHAnsi" w:hAnsiTheme="minorHAnsi" w:cstheme="minorHAnsi"/>
          <w:sz w:val="28"/>
          <w:szCs w:val="28"/>
        </w:rPr>
      </w:pPr>
    </w:p>
    <w:p w:rsidR="000A6FDB" w:rsidP="00C25283" w:rsidRDefault="000A6FDB" w14:paraId="3237B1BA" w14:textId="77777777">
      <w:pPr>
        <w:ind w:left="2880" w:hanging="2880"/>
        <w:textAlignment w:val="baseline"/>
        <w:rPr>
          <w:rFonts w:eastAsia="Times New Roman" w:asciiTheme="minorHAnsi" w:hAnsiTheme="minorHAnsi" w:cstheme="minorBidi"/>
        </w:rPr>
      </w:pPr>
    </w:p>
    <w:p w:rsidR="000A6FDB" w:rsidP="009A2427" w:rsidRDefault="005F46D5" w14:paraId="1DA9FB19" w14:textId="77777777">
      <w:pPr>
        <w:ind w:left="2880" w:hanging="2880"/>
        <w:jc w:val="center"/>
        <w:textAlignment w:val="baseline"/>
        <w:rPr>
          <w:rFonts w:eastAsia="Times New Roman" w:asciiTheme="minorHAnsi" w:hAnsiTheme="minorHAnsi" w:cstheme="minorBidi"/>
        </w:rPr>
      </w:pPr>
      <w:r>
        <w:rPr>
          <w:noProof/>
        </w:rPr>
        <w:drawing>
          <wp:inline distT="0" distB="0" distL="0" distR="0" wp14:anchorId="6688B451" wp14:editId="257A7233">
            <wp:extent cx="4637581" cy="3179135"/>
            <wp:effectExtent l="0" t="0" r="0" b="2540"/>
            <wp:docPr id="14" name="Picture 14" descr="A picture containing circle, colorfulness, desig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37581" cy="3179135"/>
                    </a:xfrm>
                    <a:prstGeom prst="rect">
                      <a:avLst/>
                    </a:prstGeom>
                  </pic:spPr>
                </pic:pic>
              </a:graphicData>
            </a:graphic>
          </wp:inline>
        </w:drawing>
      </w:r>
    </w:p>
    <w:p w:rsidR="000A6FDB" w:rsidP="00C25283" w:rsidRDefault="000A6FDB" w14:paraId="1D12AF59" w14:textId="77777777">
      <w:pPr>
        <w:ind w:left="2880" w:hanging="2880"/>
        <w:textAlignment w:val="baseline"/>
        <w:rPr>
          <w:rFonts w:eastAsia="Times New Roman" w:asciiTheme="minorHAnsi" w:hAnsiTheme="minorHAnsi" w:cstheme="minorBidi"/>
        </w:rPr>
      </w:pPr>
    </w:p>
    <w:p w:rsidR="000A6FDB" w:rsidP="00C25283" w:rsidRDefault="000A6FDB" w14:paraId="70DDA4D3" w14:textId="77777777">
      <w:pPr>
        <w:ind w:left="2880" w:hanging="2880"/>
        <w:textAlignment w:val="baseline"/>
        <w:rPr>
          <w:rFonts w:eastAsia="Times New Roman" w:asciiTheme="minorHAnsi" w:hAnsiTheme="minorHAnsi" w:cstheme="minorBidi"/>
        </w:rPr>
      </w:pPr>
    </w:p>
    <w:p w:rsidR="000A6FDB" w:rsidP="00C25283" w:rsidRDefault="000A6FDB" w14:paraId="0209150A" w14:textId="77777777">
      <w:pPr>
        <w:ind w:left="2880" w:hanging="2880"/>
        <w:textAlignment w:val="baseline"/>
        <w:rPr>
          <w:rFonts w:eastAsia="Times New Roman" w:asciiTheme="minorHAnsi" w:hAnsiTheme="minorHAnsi" w:cstheme="minorBidi"/>
        </w:rPr>
      </w:pPr>
    </w:p>
    <w:p w:rsidR="001238E1" w:rsidP="00C25283" w:rsidRDefault="001238E1" w14:paraId="3178C0C7" w14:textId="77777777">
      <w:pPr>
        <w:ind w:left="2880" w:hanging="2880"/>
        <w:textAlignment w:val="baseline"/>
        <w:rPr>
          <w:rFonts w:eastAsia="Times New Roman" w:asciiTheme="minorHAnsi" w:hAnsiTheme="minorHAnsi" w:cstheme="minorBidi"/>
        </w:rPr>
      </w:pPr>
    </w:p>
    <w:p w:rsidR="001238E1" w:rsidP="00C25283" w:rsidRDefault="001238E1" w14:paraId="00886937" w14:textId="77777777">
      <w:pPr>
        <w:ind w:left="2880" w:hanging="2880"/>
        <w:jc w:val="both"/>
        <w:textAlignment w:val="baseline"/>
        <w:rPr>
          <w:rFonts w:eastAsia="Times New Roman" w:asciiTheme="minorHAnsi" w:hAnsiTheme="minorHAnsi" w:cstheme="minorHAnsi"/>
        </w:rPr>
      </w:pPr>
    </w:p>
    <w:p w:rsidRPr="00C25283" w:rsidR="00C25283" w:rsidP="00C25283" w:rsidRDefault="00C25283" w14:paraId="0C392213" w14:textId="77777777">
      <w:pPr>
        <w:ind w:left="2880" w:hanging="2880"/>
        <w:jc w:val="both"/>
        <w:textAlignment w:val="baseline"/>
        <w:rPr>
          <w:rFonts w:eastAsia="Times New Roman" w:asciiTheme="minorHAnsi" w:hAnsiTheme="minorHAnsi" w:cstheme="minorHAnsi"/>
        </w:rPr>
      </w:pPr>
      <w:r>
        <w:rPr>
          <w:rFonts w:eastAsia="Times New Roman" w:asciiTheme="minorHAnsi" w:hAnsiTheme="minorHAnsi" w:cstheme="minorHAnsi"/>
        </w:rPr>
        <w:t>     </w:t>
      </w:r>
    </w:p>
    <w:p w:rsidRPr="00C25283" w:rsidR="00C25283" w:rsidP="00B75397" w:rsidRDefault="00C25283" w14:paraId="06DCE423" w14:textId="77777777">
      <w:pPr>
        <w:spacing w:before="120"/>
        <w:ind w:left="2250" w:hanging="2250"/>
        <w:textAlignment w:val="baseline"/>
        <w:rPr>
          <w:rFonts w:eastAsia="Times New Roman" w:asciiTheme="minorHAnsi" w:hAnsiTheme="minorHAnsi" w:cstheme="minorBidi"/>
        </w:rPr>
      </w:pPr>
      <w:r>
        <w:rPr>
          <w:rFonts w:eastAsia="Times New Roman" w:asciiTheme="minorHAnsi" w:hAnsiTheme="minorHAnsi" w:cstheme="minorBidi"/>
        </w:rPr>
        <w:t>Implementing Partner: UNDP in Bosnia and Herzegovina</w:t>
      </w:r>
    </w:p>
    <w:p w:rsidRPr="00C25283" w:rsidR="00C25283" w:rsidP="00B75397" w:rsidRDefault="00C25283" w14:paraId="6328B84A" w14:textId="77777777">
      <w:pPr>
        <w:spacing w:before="120"/>
        <w:ind w:left="2880" w:hanging="2880"/>
        <w:textAlignment w:val="baseline"/>
        <w:rPr>
          <w:rFonts w:eastAsia="Times New Roman" w:asciiTheme="minorHAnsi" w:hAnsiTheme="minorHAnsi" w:cstheme="minorHAnsi"/>
        </w:rPr>
      </w:pPr>
      <w:r>
        <w:rPr>
          <w:rFonts w:eastAsia="Times New Roman" w:asciiTheme="minorHAnsi" w:hAnsiTheme="minorHAnsi" w:cstheme="minorHAnsi"/>
          <w:bCs/>
        </w:rPr>
        <w:t>Start Date/End Date:</w:t>
      </w:r>
      <w:r>
        <w:rPr>
          <w:rFonts w:eastAsia="Times New Roman" w:asciiTheme="minorHAnsi" w:hAnsiTheme="minorHAnsi" w:cstheme="minorHAnsi"/>
        </w:rPr>
        <w:t>  April 2022 – February 2026 (46 months)  </w:t>
      </w:r>
    </w:p>
    <w:p w:rsidRPr="00C25283" w:rsidR="00C25283" w:rsidP="00CD2D3A" w:rsidRDefault="00C25283" w14:paraId="2C32DF77" w14:textId="77777777">
      <w:pPr>
        <w:tabs>
          <w:tab w:val="left" w:pos="8232"/>
        </w:tabs>
        <w:spacing w:before="120"/>
        <w:textAlignment w:val="baseline"/>
        <w:rPr>
          <w:rFonts w:eastAsia="Times New Roman" w:asciiTheme="minorHAnsi" w:hAnsiTheme="minorHAnsi" w:cstheme="minorBidi"/>
        </w:rPr>
      </w:pPr>
      <w:r>
        <w:rPr>
          <w:rFonts w:eastAsia="Times New Roman" w:asciiTheme="minorHAnsi" w:hAnsiTheme="minorHAnsi" w:cstheme="minorBidi"/>
        </w:rPr>
        <w:t>Country: Bosnia and Herzegovina </w:t>
      </w:r>
      <w:r>
        <w:tab/>
      </w:r>
    </w:p>
    <w:p w:rsidRPr="00C25283" w:rsidR="00C25283" w:rsidP="00B75397" w:rsidRDefault="00C25283" w14:paraId="36B39BAB" w14:textId="77777777">
      <w:pPr>
        <w:spacing w:before="120"/>
        <w:textAlignment w:val="baseline"/>
        <w:rPr>
          <w:rFonts w:eastAsia="Times New Roman" w:asciiTheme="minorHAnsi" w:hAnsiTheme="minorHAnsi" w:cstheme="minorHAnsi"/>
        </w:rPr>
      </w:pPr>
      <w:r>
        <w:rPr>
          <w:rFonts w:eastAsia="Times New Roman" w:asciiTheme="minorHAnsi" w:hAnsiTheme="minorHAnsi" w:cstheme="minorHAnsi"/>
          <w:bCs/>
        </w:rPr>
        <w:t>Implementation modality: </w:t>
      </w:r>
      <w:r>
        <w:rPr>
          <w:rFonts w:eastAsia="Times New Roman" w:asciiTheme="minorHAnsi" w:hAnsiTheme="minorHAnsi" w:cstheme="minorHAnsi"/>
        </w:rPr>
        <w:t xml:space="preserve"> Direct Implementation Modality (DIM) </w:t>
      </w:r>
    </w:p>
    <w:bookmarkStart w:name="_Toc138424244" w:displacedByCustomXml="next" w:id="1"/>
    <w:bookmarkStart w:name="_Toc138424476" w:displacedByCustomXml="next" w:id="2"/>
    <w:bookmarkStart w:name="_Toc138424553" w:displacedByCustomXml="next" w:id="3"/>
    <w:bookmarkStart w:name="_Toc138424576" w:displacedByCustomXml="next" w:id="4"/>
    <w:bookmarkStart w:name="_Toc138424624" w:displacedByCustomXml="next" w:id="5"/>
    <w:bookmarkStart w:name="_Toc138424667" w:displacedByCustomXml="next" w:id="6"/>
    <w:bookmarkStart w:name="_Toc138424701" w:displacedByCustomXml="next" w:id="7"/>
    <w:bookmarkStart w:name="_Toc138424798" w:displacedByCustomXml="next" w:id="8"/>
    <w:bookmarkStart w:name="_Toc138425760" w:displacedByCustomXml="next" w:id="9"/>
    <w:bookmarkStart w:name="_Toc138425835" w:displacedByCustomXml="next" w:id="10"/>
    <w:bookmarkStart w:name="_Toc138425862" w:displacedByCustomXml="next" w:id="11"/>
    <w:bookmarkStart w:name="_Toc221887249" w:displacedByCustomXml="next" w:id="12"/>
    <w:sdt>
      <w:sdtPr>
        <w:id w:val="175916950"/>
        <w:docPartObj>
          <w:docPartGallery w:val="Table of Contents"/>
          <w:docPartUnique/>
        </w:docPartObj>
      </w:sdtPr>
      <w:sdtEndPr/>
      <w:sdtContent>
        <w:p w:rsidRPr="00DC0064" w:rsidR="005A3CEE" w:rsidP="7EC14CE8" w:rsidRDefault="5CAB4363" w14:paraId="2367B4E2" w14:textId="77777777">
          <w:pPr>
            <w:keepNext/>
            <w:keepLines/>
            <w:spacing w:before="40" w:line="360" w:lineRule="auto"/>
            <w:outlineLvl w:val="1"/>
            <w:rPr>
              <w:rFonts w:asciiTheme="minorHAnsi" w:hAnsiTheme="minorHAnsi" w:cstheme="minorBidi"/>
              <w:b/>
              <w:bCs/>
              <w:sz w:val="28"/>
              <w:szCs w:val="28"/>
            </w:rPr>
          </w:pPr>
          <w:r>
            <w:rPr>
              <w:rFonts w:asciiTheme="minorHAnsi" w:hAnsiTheme="minorHAnsi" w:cstheme="minorBidi"/>
              <w:b/>
              <w:bCs/>
              <w:sz w:val="28"/>
              <w:szCs w:val="28"/>
            </w:rPr>
            <w:t>Contents</w:t>
          </w:r>
          <w:bookmarkEnd w:id="12"/>
          <w:bookmarkEnd w:id="11"/>
          <w:bookmarkEnd w:id="10"/>
          <w:bookmarkEnd w:id="9"/>
          <w:bookmarkEnd w:id="8"/>
          <w:bookmarkEnd w:id="7"/>
          <w:bookmarkEnd w:id="6"/>
          <w:bookmarkEnd w:id="5"/>
          <w:bookmarkEnd w:id="4"/>
          <w:bookmarkEnd w:id="3"/>
          <w:bookmarkEnd w:id="2"/>
          <w:bookmarkEnd w:id="1"/>
        </w:p>
        <w:p w:rsidR="00330655" w:rsidP="00CF72AB" w:rsidRDefault="00330655" w14:paraId="5C92F9B2" w14:textId="77777777">
          <w:pPr>
            <w:pStyle w:val="TOC2"/>
          </w:pPr>
        </w:p>
        <w:p w:rsidR="001A71E2" w:rsidRDefault="005D3DDF" w14:paraId="063F7DA4" w14:textId="6C8ABD5C">
          <w:pPr>
            <w:pStyle w:val="TOC2"/>
            <w:rPr>
              <w:rFonts w:asciiTheme="minorHAnsi" w:hAnsiTheme="minorHAnsi" w:eastAsiaTheme="minorEastAsia" w:cstheme="minorBidi"/>
              <w:noProof/>
              <w:kern w:val="2"/>
              <w:sz w:val="24"/>
              <w:szCs w:val="24"/>
              <w:lang w:val="bs-Latn-BA" w:eastAsia="bs-Latn-BA"/>
              <w14:ligatures w14:val="standardContextual"/>
            </w:rPr>
          </w:pPr>
          <w:r>
            <w:rPr>
              <w:rFonts w:ascii="Calibri Body" w:hAnsi="Calibri Body"/>
            </w:rPr>
            <w:fldChar w:fldCharType="begin"/>
          </w:r>
          <w:r>
            <w:rPr>
              <w:rFonts w:ascii="Calibri Body" w:hAnsi="Calibri Body"/>
            </w:rPr>
            <w:instrText xml:space="preserve"> TOC \o "1-4" \h \z \u </w:instrText>
          </w:r>
          <w:r>
            <w:rPr>
              <w:rFonts w:ascii="Calibri Body" w:hAnsi="Calibri Body"/>
            </w:rPr>
            <w:fldChar w:fldCharType="separate"/>
          </w:r>
          <w:hyperlink w:history="1" w:anchor="_Toc221887249">
            <w:r>
              <w:rPr>
                <w:rStyle w:val="Hyperlink"/>
                <w:b/>
                <w:bCs/>
                <w:noProof/>
              </w:rPr>
              <w:t>Contents</w:t>
            </w:r>
            <w:r>
              <w:rPr>
                <w:noProof/>
                <w:webHidden/>
              </w:rPr>
              <w:tab/>
            </w:r>
            <w:r>
              <w:rPr>
                <w:noProof/>
                <w:webHidden/>
              </w:rPr>
              <w:fldChar w:fldCharType="begin"/>
            </w:r>
            <w:r>
              <w:rPr>
                <w:noProof/>
                <w:webHidden/>
              </w:rPr>
              <w:instrText xml:space="preserve"> PAGEREF _Toc221887249 \h </w:instrText>
            </w:r>
            <w:r>
              <w:rPr>
                <w:noProof/>
                <w:webHidden/>
              </w:rPr>
            </w:r>
            <w:r>
              <w:rPr>
                <w:noProof/>
                <w:webHidden/>
              </w:rPr>
              <w:fldChar w:fldCharType="separate"/>
            </w:r>
            <w:r>
              <w:rPr>
                <w:noProof/>
                <w:webHidden/>
              </w:rPr>
              <w:t>2</w:t>
            </w:r>
            <w:r>
              <w:rPr>
                <w:noProof/>
                <w:webHidden/>
              </w:rPr>
              <w:fldChar w:fldCharType="end"/>
            </w:r>
          </w:hyperlink>
        </w:p>
        <w:p w:rsidR="001A71E2" w:rsidRDefault="001F2BA0" w14:paraId="4CC3B380" w14:textId="6A6715C3">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50">
            <w:r w:rsidR="001A71E2">
              <w:rPr>
                <w:rStyle w:val="Hyperlink"/>
                <w:b/>
                <w:noProof/>
              </w:rPr>
              <w:t>Glossary</w:t>
            </w:r>
            <w:r w:rsidR="001A71E2">
              <w:rPr>
                <w:noProof/>
                <w:webHidden/>
              </w:rPr>
              <w:tab/>
            </w:r>
            <w:r w:rsidR="001A71E2">
              <w:rPr>
                <w:noProof/>
                <w:webHidden/>
              </w:rPr>
              <w:fldChar w:fldCharType="begin"/>
            </w:r>
            <w:r w:rsidR="001A71E2">
              <w:rPr>
                <w:noProof/>
                <w:webHidden/>
              </w:rPr>
              <w:instrText xml:space="preserve"> PAGEREF _Toc221887250 \h </w:instrText>
            </w:r>
            <w:r w:rsidR="001A71E2">
              <w:rPr>
                <w:noProof/>
                <w:webHidden/>
              </w:rPr>
            </w:r>
            <w:r w:rsidR="001A71E2">
              <w:rPr>
                <w:noProof/>
                <w:webHidden/>
              </w:rPr>
              <w:fldChar w:fldCharType="separate"/>
            </w:r>
            <w:r w:rsidR="001A71E2">
              <w:rPr>
                <w:noProof/>
                <w:webHidden/>
              </w:rPr>
              <w:t>3</w:t>
            </w:r>
            <w:r w:rsidR="001A71E2">
              <w:rPr>
                <w:noProof/>
                <w:webHidden/>
              </w:rPr>
              <w:fldChar w:fldCharType="end"/>
            </w:r>
          </w:hyperlink>
        </w:p>
        <w:p w:rsidR="001A71E2" w:rsidRDefault="001F2BA0" w14:paraId="0ACA14D0" w14:textId="1E1A0880">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51">
            <w:r w:rsidR="001A71E2">
              <w:rPr>
                <w:rStyle w:val="Hyperlink"/>
                <w:rFonts w:cstheme="minorHAnsi"/>
                <w:b/>
                <w:noProof/>
              </w:rPr>
              <w:t>Introduction and Project Description</w:t>
            </w:r>
            <w:r w:rsidR="001A71E2">
              <w:rPr>
                <w:noProof/>
                <w:webHidden/>
              </w:rPr>
              <w:tab/>
            </w:r>
            <w:r w:rsidR="001A71E2">
              <w:rPr>
                <w:noProof/>
                <w:webHidden/>
              </w:rPr>
              <w:fldChar w:fldCharType="begin"/>
            </w:r>
            <w:r w:rsidR="001A71E2">
              <w:rPr>
                <w:noProof/>
                <w:webHidden/>
              </w:rPr>
              <w:instrText xml:space="preserve"> PAGEREF _Toc221887251 \h </w:instrText>
            </w:r>
            <w:r w:rsidR="001A71E2">
              <w:rPr>
                <w:noProof/>
                <w:webHidden/>
              </w:rPr>
            </w:r>
            <w:r w:rsidR="001A71E2">
              <w:rPr>
                <w:noProof/>
                <w:webHidden/>
              </w:rPr>
              <w:fldChar w:fldCharType="separate"/>
            </w:r>
            <w:r w:rsidR="001A71E2">
              <w:rPr>
                <w:noProof/>
                <w:webHidden/>
              </w:rPr>
              <w:t>4</w:t>
            </w:r>
            <w:r w:rsidR="001A71E2">
              <w:rPr>
                <w:noProof/>
                <w:webHidden/>
              </w:rPr>
              <w:fldChar w:fldCharType="end"/>
            </w:r>
          </w:hyperlink>
        </w:p>
        <w:p w:rsidR="001A71E2" w:rsidRDefault="001F2BA0" w14:paraId="058D24D7" w14:textId="0A8D891E">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52">
            <w:r w:rsidR="001A71E2">
              <w:rPr>
                <w:rStyle w:val="Hyperlink"/>
                <w:rFonts w:cstheme="minorHAnsi"/>
                <w:b/>
                <w:noProof/>
              </w:rPr>
              <w:t>Executive summary</w:t>
            </w:r>
            <w:r w:rsidR="001A71E2">
              <w:rPr>
                <w:noProof/>
                <w:webHidden/>
              </w:rPr>
              <w:tab/>
            </w:r>
            <w:r w:rsidR="001A71E2">
              <w:rPr>
                <w:noProof/>
                <w:webHidden/>
              </w:rPr>
              <w:fldChar w:fldCharType="begin"/>
            </w:r>
            <w:r w:rsidR="001A71E2">
              <w:rPr>
                <w:noProof/>
                <w:webHidden/>
              </w:rPr>
              <w:instrText xml:space="preserve"> PAGEREF _Toc221887252 \h </w:instrText>
            </w:r>
            <w:r w:rsidR="001A71E2">
              <w:rPr>
                <w:noProof/>
                <w:webHidden/>
              </w:rPr>
            </w:r>
            <w:r w:rsidR="001A71E2">
              <w:rPr>
                <w:noProof/>
                <w:webHidden/>
              </w:rPr>
              <w:fldChar w:fldCharType="separate"/>
            </w:r>
            <w:r w:rsidR="001A71E2">
              <w:rPr>
                <w:noProof/>
                <w:webHidden/>
              </w:rPr>
              <w:t>5</w:t>
            </w:r>
            <w:r w:rsidR="001A71E2">
              <w:rPr>
                <w:noProof/>
                <w:webHidden/>
              </w:rPr>
              <w:fldChar w:fldCharType="end"/>
            </w:r>
          </w:hyperlink>
        </w:p>
        <w:p w:rsidR="001A71E2" w:rsidRDefault="001F2BA0" w14:paraId="12CB0534" w14:textId="15739757">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53">
            <w:r w:rsidR="001A71E2">
              <w:rPr>
                <w:rStyle w:val="Hyperlink"/>
                <w:b/>
                <w:noProof/>
              </w:rPr>
              <w:t>Overview of the Programme results in the reporting period (April 2022 – February 2026)</w:t>
            </w:r>
            <w:r w:rsidR="001A71E2">
              <w:rPr>
                <w:noProof/>
                <w:webHidden/>
              </w:rPr>
              <w:tab/>
            </w:r>
            <w:r w:rsidR="001A71E2">
              <w:rPr>
                <w:noProof/>
                <w:webHidden/>
              </w:rPr>
              <w:fldChar w:fldCharType="begin"/>
            </w:r>
            <w:r w:rsidR="001A71E2">
              <w:rPr>
                <w:noProof/>
                <w:webHidden/>
              </w:rPr>
              <w:instrText xml:space="preserve"> PAGEREF _Toc221887253 \h </w:instrText>
            </w:r>
            <w:r w:rsidR="001A71E2">
              <w:rPr>
                <w:noProof/>
                <w:webHidden/>
              </w:rPr>
            </w:r>
            <w:r w:rsidR="001A71E2">
              <w:rPr>
                <w:noProof/>
                <w:webHidden/>
              </w:rPr>
              <w:fldChar w:fldCharType="separate"/>
            </w:r>
            <w:r w:rsidR="001A71E2">
              <w:rPr>
                <w:noProof/>
                <w:webHidden/>
              </w:rPr>
              <w:t>8</w:t>
            </w:r>
            <w:r w:rsidR="001A71E2">
              <w:rPr>
                <w:noProof/>
                <w:webHidden/>
              </w:rPr>
              <w:fldChar w:fldCharType="end"/>
            </w:r>
          </w:hyperlink>
        </w:p>
        <w:p w:rsidR="001A71E2" w:rsidRDefault="001F2BA0" w14:paraId="11935F1B" w14:textId="39BAC57D">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54">
            <w:r w:rsidR="001A71E2">
              <w:rPr>
                <w:rStyle w:val="Hyperlink"/>
                <w:b/>
                <w:noProof/>
              </w:rPr>
              <w:t>Outcome 1</w:t>
            </w:r>
            <w:r w:rsidR="001A71E2">
              <w:rPr>
                <w:noProof/>
                <w:webHidden/>
              </w:rPr>
              <w:tab/>
            </w:r>
            <w:r w:rsidR="001A71E2">
              <w:rPr>
                <w:noProof/>
                <w:webHidden/>
              </w:rPr>
              <w:fldChar w:fldCharType="begin"/>
            </w:r>
            <w:r w:rsidR="001A71E2">
              <w:rPr>
                <w:noProof/>
                <w:webHidden/>
              </w:rPr>
              <w:instrText xml:space="preserve"> PAGEREF _Toc221887254 \h </w:instrText>
            </w:r>
            <w:r w:rsidR="001A71E2">
              <w:rPr>
                <w:noProof/>
                <w:webHidden/>
              </w:rPr>
            </w:r>
            <w:r w:rsidR="001A71E2">
              <w:rPr>
                <w:noProof/>
                <w:webHidden/>
              </w:rPr>
              <w:fldChar w:fldCharType="separate"/>
            </w:r>
            <w:r w:rsidR="001A71E2">
              <w:rPr>
                <w:noProof/>
                <w:webHidden/>
              </w:rPr>
              <w:t>8</w:t>
            </w:r>
            <w:r w:rsidR="001A71E2">
              <w:rPr>
                <w:noProof/>
                <w:webHidden/>
              </w:rPr>
              <w:fldChar w:fldCharType="end"/>
            </w:r>
          </w:hyperlink>
        </w:p>
        <w:p w:rsidR="001A71E2" w:rsidRDefault="001F2BA0" w14:paraId="5DB43FA9" w14:textId="6D7D43B2">
          <w:pPr>
            <w:pStyle w:val="TOC2"/>
            <w:rPr>
              <w:rFonts w:asciiTheme="minorHAnsi" w:hAnsiTheme="minorHAnsi" w:eastAsiaTheme="minorEastAsia" w:cstheme="minorBidi"/>
              <w:noProof/>
              <w:kern w:val="2"/>
              <w:sz w:val="24"/>
              <w:szCs w:val="24"/>
              <w:lang w:val="bs-Latn-BA" w:eastAsia="bs-Latn-BA"/>
              <w14:ligatures w14:val="standardContextual"/>
            </w:rPr>
          </w:pPr>
          <w:hyperlink w:history="1" w:anchor="_Toc221887255">
            <w:r w:rsidR="001A71E2">
              <w:rPr>
                <w:rStyle w:val="Hyperlink"/>
                <w:b/>
                <w:i/>
                <w:iCs/>
                <w:noProof/>
              </w:rPr>
              <w:t>Output 1.1.</w:t>
            </w:r>
            <w:r w:rsidR="001A71E2">
              <w:rPr>
                <w:noProof/>
                <w:webHidden/>
              </w:rPr>
              <w:tab/>
            </w:r>
            <w:r w:rsidR="001A71E2">
              <w:rPr>
                <w:noProof/>
                <w:webHidden/>
              </w:rPr>
              <w:fldChar w:fldCharType="begin"/>
            </w:r>
            <w:r w:rsidR="001A71E2">
              <w:rPr>
                <w:noProof/>
                <w:webHidden/>
              </w:rPr>
              <w:instrText xml:space="preserve"> PAGEREF _Toc221887255 \h </w:instrText>
            </w:r>
            <w:r w:rsidR="001A71E2">
              <w:rPr>
                <w:noProof/>
                <w:webHidden/>
              </w:rPr>
            </w:r>
            <w:r w:rsidR="001A71E2">
              <w:rPr>
                <w:noProof/>
                <w:webHidden/>
              </w:rPr>
              <w:fldChar w:fldCharType="separate"/>
            </w:r>
            <w:r w:rsidR="001A71E2">
              <w:rPr>
                <w:noProof/>
                <w:webHidden/>
              </w:rPr>
              <w:t>8</w:t>
            </w:r>
            <w:r w:rsidR="001A71E2">
              <w:rPr>
                <w:noProof/>
                <w:webHidden/>
              </w:rPr>
              <w:fldChar w:fldCharType="end"/>
            </w:r>
          </w:hyperlink>
        </w:p>
        <w:p w:rsidR="001A71E2" w:rsidRDefault="001F2BA0" w14:paraId="66FB20B7" w14:textId="13142FF6">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56">
            <w:r w:rsidR="001A71E2">
              <w:rPr>
                <w:rStyle w:val="Hyperlink"/>
                <w:rFonts w:cstheme="majorHAnsi"/>
                <w:b/>
                <w:noProof/>
              </w:rPr>
              <w:t>1.1.1. Support to effective functioning of the SDG Council in BiH</w:t>
            </w:r>
            <w:r w:rsidR="001A71E2">
              <w:rPr>
                <w:noProof/>
                <w:webHidden/>
              </w:rPr>
              <w:tab/>
            </w:r>
            <w:r w:rsidR="001A71E2">
              <w:rPr>
                <w:noProof/>
                <w:webHidden/>
              </w:rPr>
              <w:fldChar w:fldCharType="begin"/>
            </w:r>
            <w:r w:rsidR="001A71E2">
              <w:rPr>
                <w:noProof/>
                <w:webHidden/>
              </w:rPr>
              <w:instrText xml:space="preserve"> PAGEREF _Toc221887256 \h </w:instrText>
            </w:r>
            <w:r w:rsidR="001A71E2">
              <w:rPr>
                <w:noProof/>
                <w:webHidden/>
              </w:rPr>
            </w:r>
            <w:r w:rsidR="001A71E2">
              <w:rPr>
                <w:noProof/>
                <w:webHidden/>
              </w:rPr>
              <w:fldChar w:fldCharType="separate"/>
            </w:r>
            <w:r w:rsidR="001A71E2">
              <w:rPr>
                <w:noProof/>
                <w:webHidden/>
              </w:rPr>
              <w:t>8</w:t>
            </w:r>
            <w:r w:rsidR="001A71E2">
              <w:rPr>
                <w:noProof/>
                <w:webHidden/>
              </w:rPr>
              <w:fldChar w:fldCharType="end"/>
            </w:r>
          </w:hyperlink>
        </w:p>
        <w:p w:rsidR="001A71E2" w:rsidRDefault="001F2BA0" w14:paraId="4B230304" w14:textId="2A71BF7F">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57">
            <w:r w:rsidR="001A71E2">
              <w:rPr>
                <w:rStyle w:val="Hyperlink"/>
                <w:rFonts w:cstheme="majorHAnsi"/>
                <w:b/>
                <w:noProof/>
              </w:rPr>
              <w:t>1.1.2. Strengthening governments’ planning systems for effective implementation of the SDGs, monitoring and reporting</w:t>
            </w:r>
            <w:r w:rsidR="001A71E2">
              <w:rPr>
                <w:noProof/>
                <w:webHidden/>
              </w:rPr>
              <w:tab/>
            </w:r>
            <w:r w:rsidR="001A71E2">
              <w:rPr>
                <w:noProof/>
                <w:webHidden/>
              </w:rPr>
              <w:fldChar w:fldCharType="begin"/>
            </w:r>
            <w:r w:rsidR="001A71E2">
              <w:rPr>
                <w:noProof/>
                <w:webHidden/>
              </w:rPr>
              <w:instrText xml:space="preserve"> PAGEREF _Toc221887257 \h </w:instrText>
            </w:r>
            <w:r w:rsidR="001A71E2">
              <w:rPr>
                <w:noProof/>
                <w:webHidden/>
              </w:rPr>
            </w:r>
            <w:r w:rsidR="001A71E2">
              <w:rPr>
                <w:noProof/>
                <w:webHidden/>
              </w:rPr>
              <w:fldChar w:fldCharType="separate"/>
            </w:r>
            <w:r w:rsidR="001A71E2">
              <w:rPr>
                <w:noProof/>
                <w:webHidden/>
              </w:rPr>
              <w:t>10</w:t>
            </w:r>
            <w:r w:rsidR="001A71E2">
              <w:rPr>
                <w:noProof/>
                <w:webHidden/>
              </w:rPr>
              <w:fldChar w:fldCharType="end"/>
            </w:r>
          </w:hyperlink>
        </w:p>
        <w:p w:rsidR="001A71E2" w:rsidRDefault="001F2BA0" w14:paraId="193797EF" w14:textId="75024031">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58">
            <w:r w:rsidR="001A71E2">
              <w:rPr>
                <w:rStyle w:val="Hyperlink"/>
                <w:rFonts w:cstheme="majorHAnsi"/>
                <w:b/>
                <w:noProof/>
              </w:rPr>
              <w:t>1.1.3. Supporting governments in translating selected development accelerators into action</w:t>
            </w:r>
            <w:r w:rsidR="001A71E2">
              <w:rPr>
                <w:noProof/>
                <w:webHidden/>
              </w:rPr>
              <w:tab/>
            </w:r>
            <w:r w:rsidR="001A71E2">
              <w:rPr>
                <w:noProof/>
                <w:webHidden/>
              </w:rPr>
              <w:fldChar w:fldCharType="begin"/>
            </w:r>
            <w:r w:rsidR="001A71E2">
              <w:rPr>
                <w:noProof/>
                <w:webHidden/>
              </w:rPr>
              <w:instrText xml:space="preserve"> PAGEREF _Toc221887258 \h </w:instrText>
            </w:r>
            <w:r w:rsidR="001A71E2">
              <w:rPr>
                <w:noProof/>
                <w:webHidden/>
              </w:rPr>
            </w:r>
            <w:r w:rsidR="001A71E2">
              <w:rPr>
                <w:noProof/>
                <w:webHidden/>
              </w:rPr>
              <w:fldChar w:fldCharType="separate"/>
            </w:r>
            <w:r w:rsidR="001A71E2">
              <w:rPr>
                <w:noProof/>
                <w:webHidden/>
              </w:rPr>
              <w:t>11</w:t>
            </w:r>
            <w:r w:rsidR="001A71E2">
              <w:rPr>
                <w:noProof/>
                <w:webHidden/>
              </w:rPr>
              <w:fldChar w:fldCharType="end"/>
            </w:r>
          </w:hyperlink>
        </w:p>
        <w:p w:rsidR="001A71E2" w:rsidRDefault="001F2BA0" w14:paraId="04CC5962" w14:textId="2CF4AC97">
          <w:pPr>
            <w:pStyle w:val="TOC3"/>
            <w:tabs>
              <w:tab w:val="left" w:pos="1200"/>
            </w:tabs>
            <w:rPr>
              <w:rFonts w:asciiTheme="minorHAnsi" w:hAnsiTheme="minorHAnsi" w:eastAsiaTheme="minorEastAsia" w:cstheme="minorBidi"/>
              <w:noProof/>
              <w:kern w:val="2"/>
              <w:sz w:val="24"/>
              <w:szCs w:val="24"/>
              <w:lang w:val="bs-Latn-BA" w:eastAsia="bs-Latn-BA"/>
              <w14:ligatures w14:val="standardContextual"/>
            </w:rPr>
          </w:pPr>
          <w:hyperlink w:history="1" w:anchor="_Toc221887259">
            <w:r w:rsidR="001A71E2">
              <w:rPr>
                <w:rStyle w:val="Hyperlink"/>
                <w:rFonts w:eastAsia="Calibri" w:cstheme="majorHAnsi"/>
                <w:b/>
                <w:noProof/>
                <w:lang w:val="en-GB"/>
              </w:rPr>
              <w:t>1.1.4.</w:t>
            </w:r>
            <w:r w:rsidR="001A71E2">
              <w:rPr>
                <w:rFonts w:asciiTheme="minorHAnsi" w:hAnsiTheme="minorHAnsi" w:eastAsiaTheme="minorEastAsia" w:cstheme="minorBidi"/>
                <w:noProof/>
                <w:kern w:val="2"/>
                <w:sz w:val="24"/>
                <w:szCs w:val="24"/>
                <w:lang w:val="bs-Latn-BA" w:eastAsia="bs-Latn-BA"/>
                <w14:ligatures w14:val="standardContextual"/>
              </w:rPr>
              <w:tab/>
            </w:r>
            <w:r w:rsidR="001A71E2">
              <w:rPr>
                <w:rStyle w:val="Hyperlink"/>
                <w:rFonts w:eastAsia="Calibri" w:cstheme="majorHAnsi"/>
                <w:b/>
                <w:noProof/>
                <w:lang w:val="en-GB"/>
              </w:rPr>
              <w:t>Strengthening capacities of parliaments for SDG-informed decision making and oversight (UNDP)</w:t>
            </w:r>
            <w:r w:rsidR="001A71E2">
              <w:rPr>
                <w:noProof/>
                <w:webHidden/>
              </w:rPr>
              <w:tab/>
            </w:r>
            <w:r w:rsidR="001A71E2">
              <w:rPr>
                <w:noProof/>
                <w:webHidden/>
              </w:rPr>
              <w:fldChar w:fldCharType="begin"/>
            </w:r>
            <w:r w:rsidR="001A71E2">
              <w:rPr>
                <w:noProof/>
                <w:webHidden/>
              </w:rPr>
              <w:instrText xml:space="preserve"> PAGEREF _Toc221887259 \h </w:instrText>
            </w:r>
            <w:r w:rsidR="001A71E2">
              <w:rPr>
                <w:noProof/>
                <w:webHidden/>
              </w:rPr>
            </w:r>
            <w:r w:rsidR="001A71E2">
              <w:rPr>
                <w:noProof/>
                <w:webHidden/>
              </w:rPr>
              <w:fldChar w:fldCharType="separate"/>
            </w:r>
            <w:r w:rsidR="001A71E2">
              <w:rPr>
                <w:noProof/>
                <w:webHidden/>
              </w:rPr>
              <w:t>15</w:t>
            </w:r>
            <w:r w:rsidR="001A71E2">
              <w:rPr>
                <w:noProof/>
                <w:webHidden/>
              </w:rPr>
              <w:fldChar w:fldCharType="end"/>
            </w:r>
          </w:hyperlink>
        </w:p>
        <w:p w:rsidR="001A71E2" w:rsidRDefault="001F2BA0" w14:paraId="2E8DC8DD" w14:textId="6341356D">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60">
            <w:r w:rsidR="001A71E2">
              <w:rPr>
                <w:rStyle w:val="Hyperlink"/>
                <w:rFonts w:cstheme="majorHAnsi"/>
                <w:b/>
                <w:noProof/>
              </w:rPr>
              <w:t>1.1.5. Strengthening state and entity statistical institutions’ capacities for monitoring achievements towards SDG targets</w:t>
            </w:r>
            <w:r w:rsidR="001A71E2">
              <w:rPr>
                <w:noProof/>
                <w:webHidden/>
              </w:rPr>
              <w:tab/>
            </w:r>
            <w:r w:rsidR="001A71E2">
              <w:rPr>
                <w:noProof/>
                <w:webHidden/>
              </w:rPr>
              <w:fldChar w:fldCharType="begin"/>
            </w:r>
            <w:r w:rsidR="001A71E2">
              <w:rPr>
                <w:noProof/>
                <w:webHidden/>
              </w:rPr>
              <w:instrText xml:space="preserve"> PAGEREF _Toc221887260 \h </w:instrText>
            </w:r>
            <w:r w:rsidR="001A71E2">
              <w:rPr>
                <w:noProof/>
                <w:webHidden/>
              </w:rPr>
            </w:r>
            <w:r w:rsidR="001A71E2">
              <w:rPr>
                <w:noProof/>
                <w:webHidden/>
              </w:rPr>
              <w:fldChar w:fldCharType="separate"/>
            </w:r>
            <w:r w:rsidR="001A71E2">
              <w:rPr>
                <w:noProof/>
                <w:webHidden/>
              </w:rPr>
              <w:t>16</w:t>
            </w:r>
            <w:r w:rsidR="001A71E2">
              <w:rPr>
                <w:noProof/>
                <w:webHidden/>
              </w:rPr>
              <w:fldChar w:fldCharType="end"/>
            </w:r>
          </w:hyperlink>
        </w:p>
        <w:p w:rsidR="001A71E2" w:rsidRDefault="001F2BA0" w14:paraId="105F8BF9" w14:textId="4A54EFC4">
          <w:pPr>
            <w:pStyle w:val="TOC2"/>
            <w:rPr>
              <w:rFonts w:asciiTheme="minorHAnsi" w:hAnsiTheme="minorHAnsi" w:eastAsiaTheme="minorEastAsia" w:cstheme="minorBidi"/>
              <w:noProof/>
              <w:kern w:val="2"/>
              <w:sz w:val="24"/>
              <w:szCs w:val="24"/>
              <w:lang w:val="bs-Latn-BA" w:eastAsia="bs-Latn-BA"/>
              <w14:ligatures w14:val="standardContextual"/>
            </w:rPr>
          </w:pPr>
          <w:hyperlink w:history="1" w:anchor="_Toc221887261">
            <w:r w:rsidR="001A71E2">
              <w:rPr>
                <w:rStyle w:val="Hyperlink"/>
                <w:b/>
                <w:noProof/>
              </w:rPr>
              <w:t>Output 1.2</w:t>
            </w:r>
            <w:r w:rsidR="001A71E2">
              <w:rPr>
                <w:noProof/>
                <w:webHidden/>
              </w:rPr>
              <w:tab/>
            </w:r>
            <w:r w:rsidR="001A71E2">
              <w:rPr>
                <w:noProof/>
                <w:webHidden/>
              </w:rPr>
              <w:fldChar w:fldCharType="begin"/>
            </w:r>
            <w:r w:rsidR="001A71E2">
              <w:rPr>
                <w:noProof/>
                <w:webHidden/>
              </w:rPr>
              <w:instrText xml:space="preserve"> PAGEREF _Toc221887261 \h </w:instrText>
            </w:r>
            <w:r w:rsidR="001A71E2">
              <w:rPr>
                <w:noProof/>
                <w:webHidden/>
              </w:rPr>
            </w:r>
            <w:r w:rsidR="001A71E2">
              <w:rPr>
                <w:noProof/>
                <w:webHidden/>
              </w:rPr>
              <w:fldChar w:fldCharType="separate"/>
            </w:r>
            <w:r w:rsidR="001A71E2">
              <w:rPr>
                <w:noProof/>
                <w:webHidden/>
              </w:rPr>
              <w:t>18</w:t>
            </w:r>
            <w:r w:rsidR="001A71E2">
              <w:rPr>
                <w:noProof/>
                <w:webHidden/>
              </w:rPr>
              <w:fldChar w:fldCharType="end"/>
            </w:r>
          </w:hyperlink>
        </w:p>
        <w:p w:rsidR="001A71E2" w:rsidRDefault="001F2BA0" w14:paraId="3C898016" w14:textId="3C9F6409">
          <w:pPr>
            <w:pStyle w:val="TOC2"/>
            <w:rPr>
              <w:rFonts w:asciiTheme="minorHAnsi" w:hAnsiTheme="minorHAnsi" w:eastAsiaTheme="minorEastAsia" w:cstheme="minorBidi"/>
              <w:noProof/>
              <w:kern w:val="2"/>
              <w:sz w:val="24"/>
              <w:szCs w:val="24"/>
              <w:lang w:val="bs-Latn-BA" w:eastAsia="bs-Latn-BA"/>
              <w14:ligatures w14:val="standardContextual"/>
            </w:rPr>
          </w:pPr>
          <w:hyperlink w:history="1" w:anchor="_Toc221887262">
            <w:r w:rsidR="001A71E2">
              <w:rPr>
                <w:rStyle w:val="Hyperlink"/>
                <w:b/>
                <w:noProof/>
              </w:rPr>
              <w:t>Output 1.3.</w:t>
            </w:r>
            <w:r w:rsidR="001A71E2">
              <w:rPr>
                <w:noProof/>
                <w:webHidden/>
              </w:rPr>
              <w:tab/>
            </w:r>
            <w:r w:rsidR="001A71E2">
              <w:rPr>
                <w:noProof/>
                <w:webHidden/>
              </w:rPr>
              <w:fldChar w:fldCharType="begin"/>
            </w:r>
            <w:r w:rsidR="001A71E2">
              <w:rPr>
                <w:noProof/>
                <w:webHidden/>
              </w:rPr>
              <w:instrText xml:space="preserve"> PAGEREF _Toc221887262 \h </w:instrText>
            </w:r>
            <w:r w:rsidR="001A71E2">
              <w:rPr>
                <w:noProof/>
                <w:webHidden/>
              </w:rPr>
            </w:r>
            <w:r w:rsidR="001A71E2">
              <w:rPr>
                <w:noProof/>
                <w:webHidden/>
              </w:rPr>
              <w:fldChar w:fldCharType="separate"/>
            </w:r>
            <w:r w:rsidR="001A71E2">
              <w:rPr>
                <w:noProof/>
                <w:webHidden/>
              </w:rPr>
              <w:t>20</w:t>
            </w:r>
            <w:r w:rsidR="001A71E2">
              <w:rPr>
                <w:noProof/>
                <w:webHidden/>
              </w:rPr>
              <w:fldChar w:fldCharType="end"/>
            </w:r>
          </w:hyperlink>
        </w:p>
        <w:p w:rsidR="001A71E2" w:rsidRDefault="001F2BA0" w14:paraId="0203A16A" w14:textId="5C931279">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63">
            <w:r w:rsidR="001A71E2">
              <w:rPr>
                <w:rStyle w:val="Hyperlink"/>
                <w:rFonts w:cstheme="majorHAnsi"/>
                <w:b/>
                <w:noProof/>
              </w:rPr>
              <w:t>1.3.1. Engaging private sector to promote sustainable development</w:t>
            </w:r>
            <w:r w:rsidR="001A71E2">
              <w:rPr>
                <w:noProof/>
                <w:webHidden/>
              </w:rPr>
              <w:tab/>
            </w:r>
            <w:r w:rsidR="001A71E2">
              <w:rPr>
                <w:noProof/>
                <w:webHidden/>
              </w:rPr>
              <w:fldChar w:fldCharType="begin"/>
            </w:r>
            <w:r w:rsidR="001A71E2">
              <w:rPr>
                <w:noProof/>
                <w:webHidden/>
              </w:rPr>
              <w:instrText xml:space="preserve"> PAGEREF _Toc221887263 \h </w:instrText>
            </w:r>
            <w:r w:rsidR="001A71E2">
              <w:rPr>
                <w:noProof/>
                <w:webHidden/>
              </w:rPr>
            </w:r>
            <w:r w:rsidR="001A71E2">
              <w:rPr>
                <w:noProof/>
                <w:webHidden/>
              </w:rPr>
              <w:fldChar w:fldCharType="separate"/>
            </w:r>
            <w:r w:rsidR="001A71E2">
              <w:rPr>
                <w:noProof/>
                <w:webHidden/>
              </w:rPr>
              <w:t>20</w:t>
            </w:r>
            <w:r w:rsidR="001A71E2">
              <w:rPr>
                <w:noProof/>
                <w:webHidden/>
              </w:rPr>
              <w:fldChar w:fldCharType="end"/>
            </w:r>
          </w:hyperlink>
        </w:p>
        <w:p w:rsidR="001A71E2" w:rsidRDefault="001F2BA0" w14:paraId="605415AE" w14:textId="0866280E">
          <w:pPr>
            <w:pStyle w:val="TOC3"/>
            <w:rPr>
              <w:rFonts w:asciiTheme="minorHAnsi" w:hAnsiTheme="minorHAnsi" w:eastAsiaTheme="minorEastAsia" w:cstheme="minorBidi"/>
              <w:noProof/>
              <w:kern w:val="2"/>
              <w:sz w:val="24"/>
              <w:szCs w:val="24"/>
              <w:lang w:val="bs-Latn-BA" w:eastAsia="bs-Latn-BA"/>
              <w14:ligatures w14:val="standardContextual"/>
            </w:rPr>
          </w:pPr>
          <w:hyperlink w:history="1" w:anchor="_Toc221887264">
            <w:r w:rsidR="001A71E2">
              <w:rPr>
                <w:rStyle w:val="Hyperlink"/>
                <w:rFonts w:cstheme="majorHAnsi"/>
                <w:b/>
                <w:noProof/>
              </w:rPr>
              <w:t>1.3.2. SDG Week in BiH and promotion of SDG localization</w:t>
            </w:r>
            <w:r w:rsidR="001A71E2">
              <w:rPr>
                <w:noProof/>
                <w:webHidden/>
              </w:rPr>
              <w:tab/>
            </w:r>
            <w:r w:rsidR="001A71E2">
              <w:rPr>
                <w:noProof/>
                <w:webHidden/>
              </w:rPr>
              <w:fldChar w:fldCharType="begin"/>
            </w:r>
            <w:r w:rsidR="001A71E2">
              <w:rPr>
                <w:noProof/>
                <w:webHidden/>
              </w:rPr>
              <w:instrText xml:space="preserve"> PAGEREF _Toc221887264 \h </w:instrText>
            </w:r>
            <w:r w:rsidR="001A71E2">
              <w:rPr>
                <w:noProof/>
                <w:webHidden/>
              </w:rPr>
            </w:r>
            <w:r w:rsidR="001A71E2">
              <w:rPr>
                <w:noProof/>
                <w:webHidden/>
              </w:rPr>
              <w:fldChar w:fldCharType="separate"/>
            </w:r>
            <w:r w:rsidR="001A71E2">
              <w:rPr>
                <w:noProof/>
                <w:webHidden/>
              </w:rPr>
              <w:t>22</w:t>
            </w:r>
            <w:r w:rsidR="001A71E2">
              <w:rPr>
                <w:noProof/>
                <w:webHidden/>
              </w:rPr>
              <w:fldChar w:fldCharType="end"/>
            </w:r>
          </w:hyperlink>
        </w:p>
        <w:p w:rsidR="001A71E2" w:rsidRDefault="001F2BA0" w14:paraId="14D09A91" w14:textId="40BB16E4">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65">
            <w:r w:rsidR="001A71E2">
              <w:rPr>
                <w:rStyle w:val="Hyperlink"/>
                <w:b/>
                <w:noProof/>
              </w:rPr>
              <w:t>Outcome 2</w:t>
            </w:r>
            <w:r w:rsidR="001A71E2">
              <w:rPr>
                <w:noProof/>
                <w:webHidden/>
              </w:rPr>
              <w:tab/>
            </w:r>
            <w:r w:rsidR="001A71E2">
              <w:rPr>
                <w:noProof/>
                <w:webHidden/>
              </w:rPr>
              <w:fldChar w:fldCharType="begin"/>
            </w:r>
            <w:r w:rsidR="001A71E2">
              <w:rPr>
                <w:noProof/>
                <w:webHidden/>
              </w:rPr>
              <w:instrText xml:space="preserve"> PAGEREF _Toc221887265 \h </w:instrText>
            </w:r>
            <w:r w:rsidR="001A71E2">
              <w:rPr>
                <w:noProof/>
                <w:webHidden/>
              </w:rPr>
            </w:r>
            <w:r w:rsidR="001A71E2">
              <w:rPr>
                <w:noProof/>
                <w:webHidden/>
              </w:rPr>
              <w:fldChar w:fldCharType="separate"/>
            </w:r>
            <w:r w:rsidR="001A71E2">
              <w:rPr>
                <w:noProof/>
                <w:webHidden/>
              </w:rPr>
              <w:t>23</w:t>
            </w:r>
            <w:r w:rsidR="001A71E2">
              <w:rPr>
                <w:noProof/>
                <w:webHidden/>
              </w:rPr>
              <w:fldChar w:fldCharType="end"/>
            </w:r>
          </w:hyperlink>
        </w:p>
        <w:p w:rsidR="001A71E2" w:rsidRDefault="001F2BA0" w14:paraId="21C67BCD" w14:textId="3666C3A0">
          <w:pPr>
            <w:pStyle w:val="TOC2"/>
            <w:rPr>
              <w:rFonts w:asciiTheme="minorHAnsi" w:hAnsiTheme="minorHAnsi" w:eastAsiaTheme="minorEastAsia" w:cstheme="minorBidi"/>
              <w:noProof/>
              <w:kern w:val="2"/>
              <w:sz w:val="24"/>
              <w:szCs w:val="24"/>
              <w:lang w:val="bs-Latn-BA" w:eastAsia="bs-Latn-BA"/>
              <w14:ligatures w14:val="standardContextual"/>
            </w:rPr>
          </w:pPr>
          <w:hyperlink w:history="1" w:anchor="_Toc221887266">
            <w:r w:rsidR="001A71E2">
              <w:rPr>
                <w:rStyle w:val="Hyperlink"/>
                <w:rFonts w:cstheme="majorHAnsi"/>
                <w:b/>
                <w:noProof/>
              </w:rPr>
              <w:t>Output 2.1. Local governments capabilities to plan, finance, implement, monitor and report on their SDG achievements enhanced (up to 8 local governments)</w:t>
            </w:r>
            <w:r w:rsidR="001A71E2">
              <w:rPr>
                <w:noProof/>
                <w:webHidden/>
              </w:rPr>
              <w:tab/>
            </w:r>
            <w:r w:rsidR="001A71E2">
              <w:rPr>
                <w:noProof/>
                <w:webHidden/>
              </w:rPr>
              <w:fldChar w:fldCharType="begin"/>
            </w:r>
            <w:r w:rsidR="001A71E2">
              <w:rPr>
                <w:noProof/>
                <w:webHidden/>
              </w:rPr>
              <w:instrText xml:space="preserve"> PAGEREF _Toc221887266 \h </w:instrText>
            </w:r>
            <w:r w:rsidR="001A71E2">
              <w:rPr>
                <w:noProof/>
                <w:webHidden/>
              </w:rPr>
            </w:r>
            <w:r w:rsidR="001A71E2">
              <w:rPr>
                <w:noProof/>
                <w:webHidden/>
              </w:rPr>
              <w:fldChar w:fldCharType="separate"/>
            </w:r>
            <w:r w:rsidR="001A71E2">
              <w:rPr>
                <w:noProof/>
                <w:webHidden/>
              </w:rPr>
              <w:t>24</w:t>
            </w:r>
            <w:r w:rsidR="001A71E2">
              <w:rPr>
                <w:noProof/>
                <w:webHidden/>
              </w:rPr>
              <w:fldChar w:fldCharType="end"/>
            </w:r>
          </w:hyperlink>
        </w:p>
        <w:p w:rsidR="001A71E2" w:rsidRDefault="001F2BA0" w14:paraId="56883A1E" w14:textId="75A4BC41">
          <w:pPr>
            <w:pStyle w:val="TOC2"/>
            <w:rPr>
              <w:rFonts w:asciiTheme="minorHAnsi" w:hAnsiTheme="minorHAnsi" w:eastAsiaTheme="minorEastAsia" w:cstheme="minorBidi"/>
              <w:noProof/>
              <w:kern w:val="2"/>
              <w:sz w:val="24"/>
              <w:szCs w:val="24"/>
              <w:lang w:val="bs-Latn-BA" w:eastAsia="bs-Latn-BA"/>
              <w14:ligatures w14:val="standardContextual"/>
            </w:rPr>
          </w:pPr>
          <w:hyperlink w:history="1" w:anchor="_Toc221887267">
            <w:r w:rsidR="001A71E2">
              <w:rPr>
                <w:rStyle w:val="Hyperlink"/>
                <w:rFonts w:eastAsia="Calibri"/>
                <w:b/>
                <w:noProof/>
                <w:lang w:val="en-GB"/>
              </w:rPr>
              <w:t>Output 2.2. Cantonal capabilities to plan, finance, implement, monitor and report on their SDG achievements enhanced (up to 3 cantons)</w:t>
            </w:r>
            <w:r w:rsidR="001A71E2">
              <w:rPr>
                <w:noProof/>
                <w:webHidden/>
              </w:rPr>
              <w:tab/>
            </w:r>
            <w:r w:rsidR="001A71E2">
              <w:rPr>
                <w:noProof/>
                <w:webHidden/>
              </w:rPr>
              <w:fldChar w:fldCharType="begin"/>
            </w:r>
            <w:r w:rsidR="001A71E2">
              <w:rPr>
                <w:noProof/>
                <w:webHidden/>
              </w:rPr>
              <w:instrText xml:space="preserve"> PAGEREF _Toc221887267 \h </w:instrText>
            </w:r>
            <w:r w:rsidR="001A71E2">
              <w:rPr>
                <w:noProof/>
                <w:webHidden/>
              </w:rPr>
            </w:r>
            <w:r w:rsidR="001A71E2">
              <w:rPr>
                <w:noProof/>
                <w:webHidden/>
              </w:rPr>
              <w:fldChar w:fldCharType="separate"/>
            </w:r>
            <w:r w:rsidR="001A71E2">
              <w:rPr>
                <w:noProof/>
                <w:webHidden/>
              </w:rPr>
              <w:t>26</w:t>
            </w:r>
            <w:r w:rsidR="001A71E2">
              <w:rPr>
                <w:noProof/>
                <w:webHidden/>
              </w:rPr>
              <w:fldChar w:fldCharType="end"/>
            </w:r>
          </w:hyperlink>
        </w:p>
        <w:p w:rsidR="001A71E2" w:rsidRDefault="001F2BA0" w14:paraId="432A7826" w14:textId="1D76E7D9">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68">
            <w:r w:rsidR="001A71E2">
              <w:rPr>
                <w:rStyle w:val="Hyperlink"/>
                <w:rFonts w:cstheme="minorHAnsi"/>
                <w:b/>
                <w:noProof/>
              </w:rPr>
              <w:t>Overall Management</w:t>
            </w:r>
            <w:r w:rsidR="001A71E2">
              <w:rPr>
                <w:noProof/>
                <w:webHidden/>
              </w:rPr>
              <w:tab/>
            </w:r>
            <w:r w:rsidR="001A71E2">
              <w:rPr>
                <w:noProof/>
                <w:webHidden/>
              </w:rPr>
              <w:fldChar w:fldCharType="begin"/>
            </w:r>
            <w:r w:rsidR="001A71E2">
              <w:rPr>
                <w:noProof/>
                <w:webHidden/>
              </w:rPr>
              <w:instrText xml:space="preserve"> PAGEREF _Toc221887268 \h </w:instrText>
            </w:r>
            <w:r w:rsidR="001A71E2">
              <w:rPr>
                <w:noProof/>
                <w:webHidden/>
              </w:rPr>
            </w:r>
            <w:r w:rsidR="001A71E2">
              <w:rPr>
                <w:noProof/>
                <w:webHidden/>
              </w:rPr>
              <w:fldChar w:fldCharType="separate"/>
            </w:r>
            <w:r w:rsidR="001A71E2">
              <w:rPr>
                <w:noProof/>
                <w:webHidden/>
              </w:rPr>
              <w:t>28</w:t>
            </w:r>
            <w:r w:rsidR="001A71E2">
              <w:rPr>
                <w:noProof/>
                <w:webHidden/>
              </w:rPr>
              <w:fldChar w:fldCharType="end"/>
            </w:r>
          </w:hyperlink>
        </w:p>
        <w:p w:rsidR="001A71E2" w:rsidRDefault="001F2BA0" w14:paraId="4F502F2F" w14:textId="5BE518DF">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69">
            <w:r w:rsidR="001A71E2">
              <w:rPr>
                <w:rStyle w:val="Hyperlink"/>
                <w:rFonts w:cstheme="minorHAnsi"/>
                <w:b/>
                <w:noProof/>
              </w:rPr>
              <w:t>Lessons learned</w:t>
            </w:r>
            <w:r w:rsidR="001A71E2">
              <w:rPr>
                <w:noProof/>
                <w:webHidden/>
              </w:rPr>
              <w:tab/>
            </w:r>
            <w:r w:rsidR="001A71E2">
              <w:rPr>
                <w:noProof/>
                <w:webHidden/>
              </w:rPr>
              <w:fldChar w:fldCharType="begin"/>
            </w:r>
            <w:r w:rsidR="001A71E2">
              <w:rPr>
                <w:noProof/>
                <w:webHidden/>
              </w:rPr>
              <w:instrText xml:space="preserve"> PAGEREF _Toc221887269 \h </w:instrText>
            </w:r>
            <w:r w:rsidR="001A71E2">
              <w:rPr>
                <w:noProof/>
                <w:webHidden/>
              </w:rPr>
            </w:r>
            <w:r w:rsidR="001A71E2">
              <w:rPr>
                <w:noProof/>
                <w:webHidden/>
              </w:rPr>
              <w:fldChar w:fldCharType="separate"/>
            </w:r>
            <w:r w:rsidR="001A71E2">
              <w:rPr>
                <w:noProof/>
                <w:webHidden/>
              </w:rPr>
              <w:t>28</w:t>
            </w:r>
            <w:r w:rsidR="001A71E2">
              <w:rPr>
                <w:noProof/>
                <w:webHidden/>
              </w:rPr>
              <w:fldChar w:fldCharType="end"/>
            </w:r>
          </w:hyperlink>
        </w:p>
        <w:p w:rsidR="001A71E2" w:rsidRDefault="001F2BA0" w14:paraId="522EEEB2" w14:textId="19C8D2E5">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0">
            <w:r w:rsidR="001A71E2">
              <w:rPr>
                <w:rStyle w:val="Hyperlink"/>
                <w:rFonts w:cstheme="minorHAnsi"/>
                <w:b/>
                <w:noProof/>
              </w:rPr>
              <w:t>Gender equality</w:t>
            </w:r>
            <w:r w:rsidR="001A71E2">
              <w:rPr>
                <w:noProof/>
                <w:webHidden/>
              </w:rPr>
              <w:tab/>
            </w:r>
            <w:r w:rsidR="001A71E2">
              <w:rPr>
                <w:noProof/>
                <w:webHidden/>
              </w:rPr>
              <w:fldChar w:fldCharType="begin"/>
            </w:r>
            <w:r w:rsidR="001A71E2">
              <w:rPr>
                <w:noProof/>
                <w:webHidden/>
              </w:rPr>
              <w:instrText xml:space="preserve"> PAGEREF _Toc221887270 \h </w:instrText>
            </w:r>
            <w:r w:rsidR="001A71E2">
              <w:rPr>
                <w:noProof/>
                <w:webHidden/>
              </w:rPr>
            </w:r>
            <w:r w:rsidR="001A71E2">
              <w:rPr>
                <w:noProof/>
                <w:webHidden/>
              </w:rPr>
              <w:fldChar w:fldCharType="separate"/>
            </w:r>
            <w:r w:rsidR="001A71E2">
              <w:rPr>
                <w:noProof/>
                <w:webHidden/>
              </w:rPr>
              <w:t>29</w:t>
            </w:r>
            <w:r w:rsidR="001A71E2">
              <w:rPr>
                <w:noProof/>
                <w:webHidden/>
              </w:rPr>
              <w:fldChar w:fldCharType="end"/>
            </w:r>
          </w:hyperlink>
        </w:p>
        <w:p w:rsidR="001A71E2" w:rsidRDefault="001F2BA0" w14:paraId="6D880D96" w14:textId="4195422E">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1">
            <w:r w:rsidR="001A71E2">
              <w:rPr>
                <w:rStyle w:val="Hyperlink"/>
                <w:b/>
                <w:noProof/>
              </w:rPr>
              <w:t>Visibility</w:t>
            </w:r>
            <w:r w:rsidR="001A71E2">
              <w:rPr>
                <w:noProof/>
                <w:webHidden/>
              </w:rPr>
              <w:tab/>
            </w:r>
            <w:r w:rsidR="001A71E2">
              <w:rPr>
                <w:noProof/>
                <w:webHidden/>
              </w:rPr>
              <w:fldChar w:fldCharType="begin"/>
            </w:r>
            <w:r w:rsidR="001A71E2">
              <w:rPr>
                <w:noProof/>
                <w:webHidden/>
              </w:rPr>
              <w:instrText xml:space="preserve"> PAGEREF _Toc221887271 \h </w:instrText>
            </w:r>
            <w:r w:rsidR="001A71E2">
              <w:rPr>
                <w:noProof/>
                <w:webHidden/>
              </w:rPr>
            </w:r>
            <w:r w:rsidR="001A71E2">
              <w:rPr>
                <w:noProof/>
                <w:webHidden/>
              </w:rPr>
              <w:fldChar w:fldCharType="separate"/>
            </w:r>
            <w:r w:rsidR="001A71E2">
              <w:rPr>
                <w:noProof/>
                <w:webHidden/>
              </w:rPr>
              <w:t>31</w:t>
            </w:r>
            <w:r w:rsidR="001A71E2">
              <w:rPr>
                <w:noProof/>
                <w:webHidden/>
              </w:rPr>
              <w:fldChar w:fldCharType="end"/>
            </w:r>
          </w:hyperlink>
        </w:p>
        <w:p w:rsidR="001A71E2" w:rsidRDefault="001F2BA0" w14:paraId="177E150D" w14:textId="78FFB1C6">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2">
            <w:r w:rsidR="001A71E2">
              <w:rPr>
                <w:rStyle w:val="Hyperlink"/>
                <w:rFonts w:cstheme="minorHAnsi"/>
                <w:bCs/>
                <w:noProof/>
              </w:rPr>
              <w:t>Synergies with other interventions</w:t>
            </w:r>
            <w:r w:rsidR="001A71E2">
              <w:rPr>
                <w:noProof/>
                <w:webHidden/>
              </w:rPr>
              <w:tab/>
            </w:r>
            <w:r w:rsidR="001A71E2">
              <w:rPr>
                <w:noProof/>
                <w:webHidden/>
              </w:rPr>
              <w:fldChar w:fldCharType="begin"/>
            </w:r>
            <w:r w:rsidR="001A71E2">
              <w:rPr>
                <w:noProof/>
                <w:webHidden/>
              </w:rPr>
              <w:instrText xml:space="preserve"> PAGEREF _Toc221887272 \h </w:instrText>
            </w:r>
            <w:r w:rsidR="001A71E2">
              <w:rPr>
                <w:noProof/>
                <w:webHidden/>
              </w:rPr>
            </w:r>
            <w:r w:rsidR="001A71E2">
              <w:rPr>
                <w:noProof/>
                <w:webHidden/>
              </w:rPr>
              <w:fldChar w:fldCharType="separate"/>
            </w:r>
            <w:r w:rsidR="001A71E2">
              <w:rPr>
                <w:noProof/>
                <w:webHidden/>
              </w:rPr>
              <w:t>32</w:t>
            </w:r>
            <w:r w:rsidR="001A71E2">
              <w:rPr>
                <w:noProof/>
                <w:webHidden/>
              </w:rPr>
              <w:fldChar w:fldCharType="end"/>
            </w:r>
          </w:hyperlink>
        </w:p>
        <w:p w:rsidR="001A71E2" w:rsidRDefault="001F2BA0" w14:paraId="5AFA5A61" w14:textId="5B514F72">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3">
            <w:r w:rsidR="001A71E2">
              <w:rPr>
                <w:rStyle w:val="Hyperlink"/>
                <w:rFonts w:eastAsia="Calibri"/>
                <w:noProof/>
              </w:rPr>
              <w:t>Financial overview</w:t>
            </w:r>
            <w:r w:rsidR="001A71E2">
              <w:rPr>
                <w:noProof/>
                <w:webHidden/>
              </w:rPr>
              <w:tab/>
            </w:r>
            <w:r w:rsidR="001A71E2">
              <w:rPr>
                <w:noProof/>
                <w:webHidden/>
              </w:rPr>
              <w:fldChar w:fldCharType="begin"/>
            </w:r>
            <w:r w:rsidR="001A71E2">
              <w:rPr>
                <w:noProof/>
                <w:webHidden/>
              </w:rPr>
              <w:instrText xml:space="preserve"> PAGEREF _Toc221887273 \h </w:instrText>
            </w:r>
            <w:r w:rsidR="001A71E2">
              <w:rPr>
                <w:noProof/>
                <w:webHidden/>
              </w:rPr>
            </w:r>
            <w:r w:rsidR="001A71E2">
              <w:rPr>
                <w:noProof/>
                <w:webHidden/>
              </w:rPr>
              <w:fldChar w:fldCharType="separate"/>
            </w:r>
            <w:r w:rsidR="001A71E2">
              <w:rPr>
                <w:noProof/>
                <w:webHidden/>
              </w:rPr>
              <w:t>34</w:t>
            </w:r>
            <w:r w:rsidR="001A71E2">
              <w:rPr>
                <w:noProof/>
                <w:webHidden/>
              </w:rPr>
              <w:fldChar w:fldCharType="end"/>
            </w:r>
          </w:hyperlink>
        </w:p>
        <w:p w:rsidR="001A71E2" w:rsidRDefault="001F2BA0" w14:paraId="516A2017" w14:textId="49BD3254">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4">
            <w:r w:rsidR="001A71E2">
              <w:rPr>
                <w:rStyle w:val="Hyperlink"/>
                <w:noProof/>
              </w:rPr>
              <w:t>Visual Annex: Partner Mapping &amp; Key Achievements</w:t>
            </w:r>
            <w:r w:rsidR="001A71E2">
              <w:rPr>
                <w:noProof/>
                <w:webHidden/>
              </w:rPr>
              <w:tab/>
            </w:r>
            <w:r w:rsidR="001A71E2">
              <w:rPr>
                <w:noProof/>
                <w:webHidden/>
              </w:rPr>
              <w:fldChar w:fldCharType="begin"/>
            </w:r>
            <w:r w:rsidR="001A71E2">
              <w:rPr>
                <w:noProof/>
                <w:webHidden/>
              </w:rPr>
              <w:instrText xml:space="preserve"> PAGEREF _Toc221887274 \h </w:instrText>
            </w:r>
            <w:r w:rsidR="001A71E2">
              <w:rPr>
                <w:noProof/>
                <w:webHidden/>
              </w:rPr>
            </w:r>
            <w:r w:rsidR="001A71E2">
              <w:rPr>
                <w:noProof/>
                <w:webHidden/>
              </w:rPr>
              <w:fldChar w:fldCharType="separate"/>
            </w:r>
            <w:r w:rsidR="001A71E2">
              <w:rPr>
                <w:noProof/>
                <w:webHidden/>
              </w:rPr>
              <w:t>35</w:t>
            </w:r>
            <w:r w:rsidR="001A71E2">
              <w:rPr>
                <w:noProof/>
                <w:webHidden/>
              </w:rPr>
              <w:fldChar w:fldCharType="end"/>
            </w:r>
          </w:hyperlink>
        </w:p>
        <w:p w:rsidR="001A71E2" w:rsidRDefault="001F2BA0" w14:paraId="6F5DFEED" w14:textId="601EC960">
          <w:pPr>
            <w:pStyle w:val="TOC1"/>
            <w:rPr>
              <w:rFonts w:asciiTheme="minorHAnsi" w:hAnsiTheme="minorHAnsi" w:eastAsiaTheme="minorEastAsia" w:cstheme="minorBidi"/>
              <w:noProof/>
              <w:kern w:val="2"/>
              <w:sz w:val="24"/>
              <w:szCs w:val="24"/>
              <w:lang w:val="bs-Latn-BA" w:eastAsia="bs-Latn-BA"/>
              <w14:ligatures w14:val="standardContextual"/>
            </w:rPr>
          </w:pPr>
          <w:hyperlink w:history="1" w:anchor="_Toc221887275">
            <w:r w:rsidR="001A71E2">
              <w:rPr>
                <w:rStyle w:val="Hyperlink"/>
                <w:noProof/>
              </w:rPr>
              <w:t>Impact Mapping: Localization Infographic</w:t>
            </w:r>
            <w:r w:rsidR="001A71E2">
              <w:rPr>
                <w:noProof/>
                <w:webHidden/>
              </w:rPr>
              <w:tab/>
            </w:r>
            <w:r w:rsidR="001A71E2">
              <w:rPr>
                <w:noProof/>
                <w:webHidden/>
              </w:rPr>
              <w:fldChar w:fldCharType="begin"/>
            </w:r>
            <w:r w:rsidR="001A71E2">
              <w:rPr>
                <w:noProof/>
                <w:webHidden/>
              </w:rPr>
              <w:instrText xml:space="preserve"> PAGEREF _Toc221887275 \h </w:instrText>
            </w:r>
            <w:r w:rsidR="001A71E2">
              <w:rPr>
                <w:noProof/>
                <w:webHidden/>
              </w:rPr>
            </w:r>
            <w:r w:rsidR="001A71E2">
              <w:rPr>
                <w:noProof/>
                <w:webHidden/>
              </w:rPr>
              <w:fldChar w:fldCharType="separate"/>
            </w:r>
            <w:r w:rsidR="001A71E2">
              <w:rPr>
                <w:noProof/>
                <w:webHidden/>
              </w:rPr>
              <w:t>35</w:t>
            </w:r>
            <w:r w:rsidR="001A71E2">
              <w:rPr>
                <w:noProof/>
                <w:webHidden/>
              </w:rPr>
              <w:fldChar w:fldCharType="end"/>
            </w:r>
          </w:hyperlink>
        </w:p>
        <w:p w:rsidR="7EC14CE8" w:rsidP="00CF72AB" w:rsidRDefault="005D3DDF" w14:paraId="6E1D430D" w14:textId="0409AB82">
          <w:pPr>
            <w:pStyle w:val="TOC2"/>
          </w:pPr>
          <w:r>
            <w:rPr>
              <w:rFonts w:ascii="Calibri Body" w:hAnsi="Calibri Body"/>
            </w:rPr>
            <w:fldChar w:fldCharType="end"/>
          </w:r>
        </w:p>
      </w:sdtContent>
    </w:sdt>
    <w:p w:rsidRPr="00FD7C4E" w:rsidR="00FD7C4E" w:rsidP="00FD7C4E" w:rsidRDefault="00FD7C4E" w14:paraId="2D4DBDBC" w14:textId="77777777"/>
    <w:p w:rsidRPr="00012D3C" w:rsidR="001D589E" w:rsidP="00012D3C" w:rsidRDefault="143FAEB4" w14:paraId="330F2573" w14:textId="78D7076E">
      <w:pPr>
        <w:pStyle w:val="Heading1"/>
        <w:pBdr>
          <w:bottom w:val="single" w:color="0468B1" w:sz="6" w:space="1"/>
        </w:pBdr>
        <w:rPr>
          <w:color w:val="0563C1" w:themeColor="hyperlink"/>
          <w:u w:val="single"/>
        </w:rPr>
      </w:pPr>
      <w:bookmarkStart w:name="_Toc221887250" w:id="13"/>
      <w:r>
        <w:rPr>
          <w:b/>
          <w:color w:val="0468B1"/>
        </w:rPr>
        <w:t>Glossary</w:t>
      </w:r>
      <w:bookmarkEnd w:id="13"/>
    </w:p>
    <w:tbl>
      <w:tblPr>
        <w:tblStyle w:val="TableGrid"/>
        <w:tblW w:w="10070" w:type="dxa"/>
        <w:tblLook w:val="04A0" w:firstRow="1" w:lastRow="0" w:firstColumn="1" w:lastColumn="0" w:noHBand="0" w:noVBand="1"/>
      </w:tblPr>
      <w:tblGrid>
        <w:gridCol w:w="3828"/>
        <w:gridCol w:w="6242"/>
      </w:tblGrid>
      <w:tr w:rsidRPr="0013674B" w:rsidR="00DA3C54" w:rsidTr="003D7404" w14:paraId="11BEC206" w14:textId="77777777">
        <w:trPr>
          <w:trHeight w:val="288" w:hRule="exact"/>
        </w:trPr>
        <w:tc>
          <w:tcPr>
            <w:tcW w:w="3828" w:type="dxa"/>
            <w:shd w:val="clear" w:color="auto" w:fill="F2F2F2"/>
          </w:tcPr>
          <w:p w:rsidRPr="003D7404" w:rsidR="00DA3C54" w:rsidP="00FD7C4E" w:rsidRDefault="00DA3C54" w14:paraId="671C85DD" w14:textId="77777777">
            <w:pPr>
              <w:rPr>
                <w:rFonts w:asciiTheme="minorHAnsi" w:hAnsiTheme="minorHAnsi" w:cstheme="minorHAnsi"/>
                <w:bCs/>
                <w:sz w:val="20"/>
                <w:szCs w:val="20"/>
              </w:rPr>
            </w:pPr>
            <w:r>
              <w:rPr>
                <w:rFonts w:asciiTheme="minorHAnsi" w:hAnsiTheme="minorHAnsi" w:cstheme="minorHAnsi"/>
                <w:bCs/>
                <w:sz w:val="20"/>
                <w:szCs w:val="20"/>
              </w:rPr>
              <w:t xml:space="preserve">B2B </w:t>
            </w:r>
          </w:p>
        </w:tc>
        <w:tc>
          <w:tcPr>
            <w:tcW w:w="6242" w:type="dxa"/>
            <w:shd w:val="clear" w:color="auto" w:fill="F2F2F2"/>
          </w:tcPr>
          <w:p w:rsidRPr="003D7404" w:rsidR="00DA3C54" w:rsidP="00FD7C4E" w:rsidRDefault="00DA3C54" w14:paraId="4C486E5D" w14:textId="77777777">
            <w:pPr>
              <w:rPr>
                <w:rFonts w:asciiTheme="minorHAnsi" w:hAnsiTheme="minorHAnsi" w:cstheme="minorHAnsi"/>
                <w:bCs/>
                <w:sz w:val="20"/>
                <w:szCs w:val="20"/>
              </w:rPr>
            </w:pPr>
            <w:r>
              <w:rPr>
                <w:rFonts w:asciiTheme="minorHAnsi" w:hAnsiTheme="minorHAnsi" w:cstheme="minorHAnsi"/>
                <w:bCs/>
                <w:sz w:val="20"/>
                <w:szCs w:val="20"/>
              </w:rPr>
              <w:t>Business to Business</w:t>
            </w:r>
          </w:p>
        </w:tc>
      </w:tr>
      <w:tr w:rsidRPr="0013674B" w:rsidR="00DA3C54" w:rsidTr="003D7404" w14:paraId="0F060038" w14:textId="77777777">
        <w:trPr>
          <w:trHeight w:val="288" w:hRule="exact"/>
        </w:trPr>
        <w:tc>
          <w:tcPr>
            <w:tcW w:w="3828" w:type="dxa"/>
          </w:tcPr>
          <w:p w:rsidRPr="003D7404" w:rsidR="00DA3C54" w:rsidP="00FD7C4E" w:rsidRDefault="00DA3C54" w14:paraId="5E262AA8" w14:textId="77777777">
            <w:pPr>
              <w:rPr>
                <w:rFonts w:asciiTheme="minorHAnsi" w:hAnsiTheme="minorHAnsi" w:cstheme="minorHAnsi"/>
                <w:b/>
                <w:sz w:val="20"/>
                <w:szCs w:val="20"/>
              </w:rPr>
            </w:pPr>
            <w:r>
              <w:rPr>
                <w:rFonts w:asciiTheme="minorHAnsi" w:hAnsiTheme="minorHAnsi" w:cstheme="minorHAnsi"/>
                <w:sz w:val="20"/>
                <w:szCs w:val="20"/>
              </w:rPr>
              <w:t xml:space="preserve">BD </w:t>
            </w:r>
          </w:p>
        </w:tc>
        <w:tc>
          <w:tcPr>
            <w:tcW w:w="6242" w:type="dxa"/>
          </w:tcPr>
          <w:p w:rsidRPr="003D7404" w:rsidR="00DA3C54" w:rsidP="00FD7C4E" w:rsidRDefault="00DA3C54" w14:paraId="793F5DFF" w14:textId="77777777">
            <w:pPr>
              <w:rPr>
                <w:rFonts w:asciiTheme="minorHAnsi" w:hAnsiTheme="minorHAnsi" w:cstheme="minorHAnsi"/>
                <w:sz w:val="20"/>
                <w:szCs w:val="20"/>
              </w:rPr>
            </w:pPr>
            <w:r>
              <w:rPr>
                <w:rFonts w:asciiTheme="minorHAnsi" w:hAnsiTheme="minorHAnsi" w:cstheme="minorHAnsi"/>
                <w:sz w:val="20"/>
                <w:szCs w:val="20"/>
              </w:rPr>
              <w:t>Brčko District</w:t>
            </w:r>
          </w:p>
        </w:tc>
      </w:tr>
      <w:tr w:rsidRPr="0013674B" w:rsidR="00DA3C54" w:rsidTr="003D7404" w14:paraId="53DDC3F6" w14:textId="77777777">
        <w:trPr>
          <w:trHeight w:val="288" w:hRule="exact"/>
        </w:trPr>
        <w:tc>
          <w:tcPr>
            <w:tcW w:w="3828" w:type="dxa"/>
          </w:tcPr>
          <w:p w:rsidRPr="003D7404" w:rsidR="00DA3C54" w:rsidP="00FD7C4E" w:rsidRDefault="00DA3C54" w14:paraId="74430C21" w14:textId="77777777">
            <w:pPr>
              <w:rPr>
                <w:rFonts w:asciiTheme="minorHAnsi" w:hAnsiTheme="minorHAnsi" w:cstheme="minorHAnsi"/>
                <w:b/>
                <w:sz w:val="20"/>
                <w:szCs w:val="20"/>
              </w:rPr>
            </w:pPr>
            <w:r>
              <w:rPr>
                <w:rFonts w:asciiTheme="minorHAnsi" w:hAnsiTheme="minorHAnsi" w:cstheme="minorHAnsi"/>
                <w:sz w:val="20"/>
                <w:szCs w:val="20"/>
              </w:rPr>
              <w:t>BHAS</w:t>
            </w:r>
          </w:p>
        </w:tc>
        <w:tc>
          <w:tcPr>
            <w:tcW w:w="6242" w:type="dxa"/>
          </w:tcPr>
          <w:p w:rsidRPr="003D7404" w:rsidR="00DA3C54" w:rsidP="00FD7C4E" w:rsidRDefault="00DA3C54" w14:paraId="4B353923" w14:textId="77777777">
            <w:pPr>
              <w:rPr>
                <w:rFonts w:asciiTheme="minorHAnsi" w:hAnsiTheme="minorHAnsi" w:cstheme="minorHAnsi"/>
                <w:sz w:val="20"/>
                <w:szCs w:val="20"/>
              </w:rPr>
            </w:pPr>
            <w:r>
              <w:rPr>
                <w:rFonts w:asciiTheme="minorHAnsi" w:hAnsiTheme="minorHAnsi" w:cstheme="minorHAnsi"/>
                <w:sz w:val="20"/>
                <w:szCs w:val="20"/>
              </w:rPr>
              <w:t>BiH Agency for Statistics</w:t>
            </w:r>
          </w:p>
        </w:tc>
      </w:tr>
      <w:tr w:rsidRPr="0013674B" w:rsidR="00DA3C54" w:rsidTr="003D7404" w14:paraId="2FFB157F" w14:textId="77777777">
        <w:trPr>
          <w:trHeight w:val="288" w:hRule="exact"/>
        </w:trPr>
        <w:tc>
          <w:tcPr>
            <w:tcW w:w="3828" w:type="dxa"/>
          </w:tcPr>
          <w:p w:rsidRPr="003D7404" w:rsidR="00DA3C54" w:rsidP="00FD7C4E" w:rsidRDefault="00DA3C54" w14:paraId="7DB3A2CF" w14:textId="77777777">
            <w:pPr>
              <w:rPr>
                <w:rFonts w:asciiTheme="minorHAnsi" w:hAnsiTheme="minorHAnsi" w:cstheme="minorHAnsi"/>
                <w:b/>
                <w:sz w:val="20"/>
                <w:szCs w:val="20"/>
              </w:rPr>
            </w:pPr>
            <w:r>
              <w:rPr>
                <w:rFonts w:asciiTheme="minorHAnsi" w:hAnsiTheme="minorHAnsi" w:cstheme="minorHAnsi"/>
                <w:sz w:val="20"/>
                <w:szCs w:val="20"/>
              </w:rPr>
              <w:t xml:space="preserve">BiH </w:t>
            </w:r>
          </w:p>
        </w:tc>
        <w:tc>
          <w:tcPr>
            <w:tcW w:w="6242" w:type="dxa"/>
          </w:tcPr>
          <w:p w:rsidRPr="003D7404" w:rsidR="00DA3C54" w:rsidP="00FD7C4E" w:rsidRDefault="00DA3C54" w14:paraId="6F79D55C" w14:textId="77777777">
            <w:pPr>
              <w:rPr>
                <w:rFonts w:asciiTheme="minorHAnsi" w:hAnsiTheme="minorHAnsi" w:cstheme="minorHAnsi"/>
                <w:sz w:val="20"/>
                <w:szCs w:val="20"/>
              </w:rPr>
            </w:pPr>
            <w:r>
              <w:rPr>
                <w:rFonts w:asciiTheme="minorHAnsi" w:hAnsiTheme="minorHAnsi" w:cstheme="minorHAnsi"/>
                <w:sz w:val="20"/>
                <w:szCs w:val="20"/>
              </w:rPr>
              <w:t>Bosnia and Herzegovina</w:t>
            </w:r>
          </w:p>
        </w:tc>
      </w:tr>
      <w:tr w:rsidRPr="0013674B" w:rsidR="00DA3C54" w:rsidTr="003D7404" w14:paraId="6D78216F" w14:textId="77777777">
        <w:trPr>
          <w:trHeight w:val="288" w:hRule="exact"/>
        </w:trPr>
        <w:tc>
          <w:tcPr>
            <w:tcW w:w="3828" w:type="dxa"/>
          </w:tcPr>
          <w:p w:rsidRPr="003D7404" w:rsidR="00DA3C54" w:rsidP="00FD7C4E" w:rsidRDefault="00DA3C54" w14:paraId="4E747257" w14:textId="77777777">
            <w:pPr>
              <w:rPr>
                <w:rFonts w:asciiTheme="minorHAnsi" w:hAnsiTheme="minorHAnsi" w:cstheme="minorHAnsi"/>
                <w:b/>
                <w:sz w:val="20"/>
                <w:szCs w:val="20"/>
              </w:rPr>
            </w:pPr>
            <w:r>
              <w:rPr>
                <w:rFonts w:asciiTheme="minorHAnsi" w:hAnsiTheme="minorHAnsi" w:cstheme="minorHAnsi"/>
                <w:sz w:val="20"/>
                <w:szCs w:val="20"/>
              </w:rPr>
              <w:t xml:space="preserve">BPPS </w:t>
            </w:r>
          </w:p>
        </w:tc>
        <w:tc>
          <w:tcPr>
            <w:tcW w:w="6242" w:type="dxa"/>
          </w:tcPr>
          <w:p w:rsidRPr="003D7404" w:rsidR="00DA3C54" w:rsidP="00FD7C4E" w:rsidRDefault="00DA3C54" w14:paraId="64535F33" w14:textId="77777777">
            <w:pPr>
              <w:rPr>
                <w:rFonts w:asciiTheme="minorHAnsi" w:hAnsiTheme="minorHAnsi" w:cstheme="minorHAnsi"/>
                <w:sz w:val="20"/>
                <w:szCs w:val="20"/>
              </w:rPr>
            </w:pPr>
            <w:r>
              <w:rPr>
                <w:rFonts w:asciiTheme="minorHAnsi" w:hAnsiTheme="minorHAnsi" w:cstheme="minorHAnsi"/>
                <w:sz w:val="20"/>
                <w:szCs w:val="20"/>
              </w:rPr>
              <w:t>Bureau for Policy and Programme Support</w:t>
            </w:r>
          </w:p>
        </w:tc>
      </w:tr>
      <w:tr w:rsidR="00DA3C54" w:rsidTr="003D7404" w14:paraId="46AC88F6" w14:textId="77777777">
        <w:trPr>
          <w:trHeight w:val="288"/>
        </w:trPr>
        <w:tc>
          <w:tcPr>
            <w:tcW w:w="3828" w:type="dxa"/>
          </w:tcPr>
          <w:p w:rsidRPr="003D7404" w:rsidR="00DA3C54" w:rsidP="00FD7C4E" w:rsidRDefault="00DA3C54" w14:paraId="34A78D78" w14:textId="77777777">
            <w:pPr>
              <w:rPr>
                <w:rFonts w:asciiTheme="minorHAnsi" w:hAnsiTheme="minorHAnsi" w:cstheme="minorBidi"/>
                <w:b/>
                <w:bCs/>
                <w:sz w:val="20"/>
                <w:szCs w:val="20"/>
              </w:rPr>
            </w:pPr>
            <w:r>
              <w:rPr>
                <w:rFonts w:asciiTheme="minorHAnsi" w:hAnsiTheme="minorHAnsi" w:cstheme="minorBidi"/>
                <w:bCs/>
                <w:sz w:val="20"/>
                <w:szCs w:val="20"/>
              </w:rPr>
              <w:t>CO</w:t>
            </w:r>
          </w:p>
        </w:tc>
        <w:tc>
          <w:tcPr>
            <w:tcW w:w="6242" w:type="dxa"/>
          </w:tcPr>
          <w:p w:rsidRPr="003D7404" w:rsidR="00DA3C54" w:rsidP="00FD7C4E" w:rsidRDefault="00DA3C54" w14:paraId="1AEB0F09" w14:textId="77777777">
            <w:pPr>
              <w:rPr>
                <w:rFonts w:asciiTheme="minorHAnsi" w:hAnsiTheme="minorHAnsi" w:cstheme="minorBidi"/>
                <w:sz w:val="20"/>
                <w:szCs w:val="20"/>
              </w:rPr>
            </w:pPr>
            <w:r>
              <w:rPr>
                <w:rFonts w:asciiTheme="minorHAnsi" w:hAnsiTheme="minorHAnsi" w:cstheme="minorBidi"/>
                <w:sz w:val="20"/>
                <w:szCs w:val="20"/>
              </w:rPr>
              <w:t>Country Office</w:t>
            </w:r>
          </w:p>
        </w:tc>
      </w:tr>
      <w:tr w:rsidR="00DA3C54" w:rsidTr="003D7404" w14:paraId="4F707B45" w14:textId="77777777">
        <w:trPr>
          <w:trHeight w:val="288"/>
        </w:trPr>
        <w:tc>
          <w:tcPr>
            <w:tcW w:w="3828" w:type="dxa"/>
          </w:tcPr>
          <w:p w:rsidRPr="003D7404" w:rsidR="00DA3C54" w:rsidP="00FD7C4E" w:rsidRDefault="00DA3C54" w14:paraId="640F2426" w14:textId="77777777">
            <w:pPr>
              <w:rPr>
                <w:rFonts w:asciiTheme="minorHAnsi" w:hAnsiTheme="minorHAnsi" w:cstheme="minorBidi"/>
                <w:b/>
                <w:bCs/>
                <w:sz w:val="20"/>
                <w:szCs w:val="20"/>
              </w:rPr>
            </w:pPr>
            <w:proofErr w:type="spellStart"/>
            <w:r>
              <w:rPr>
                <w:rFonts w:asciiTheme="minorHAnsi" w:hAnsiTheme="minorHAnsi" w:cstheme="minorBidi"/>
                <w:bCs/>
                <w:sz w:val="20"/>
                <w:szCs w:val="20"/>
              </w:rPr>
              <w:t>CoM</w:t>
            </w:r>
            <w:proofErr w:type="spellEnd"/>
            <w:r>
              <w:rPr>
                <w:rFonts w:asciiTheme="minorHAnsi" w:hAnsiTheme="minorHAnsi" w:cstheme="minorBidi"/>
                <w:bCs/>
                <w:sz w:val="20"/>
                <w:szCs w:val="20"/>
              </w:rPr>
              <w:t xml:space="preserve"> BiH</w:t>
            </w:r>
          </w:p>
        </w:tc>
        <w:tc>
          <w:tcPr>
            <w:tcW w:w="6242" w:type="dxa"/>
          </w:tcPr>
          <w:p w:rsidRPr="003D7404" w:rsidR="00DA3C54" w:rsidP="00FD7C4E" w:rsidRDefault="00DA3C54" w14:paraId="33EABD64" w14:textId="77777777">
            <w:pPr>
              <w:rPr>
                <w:rFonts w:asciiTheme="minorHAnsi" w:hAnsiTheme="minorHAnsi" w:cstheme="minorBidi"/>
                <w:sz w:val="20"/>
                <w:szCs w:val="20"/>
              </w:rPr>
            </w:pPr>
            <w:r>
              <w:rPr>
                <w:rFonts w:asciiTheme="minorHAnsi" w:hAnsiTheme="minorHAnsi" w:cstheme="minorBidi"/>
                <w:sz w:val="20"/>
                <w:szCs w:val="20"/>
              </w:rPr>
              <w:t>Council of Ministers of Bosnia and Herzegovina</w:t>
            </w:r>
          </w:p>
        </w:tc>
      </w:tr>
      <w:tr w:rsidRPr="0013674B" w:rsidR="00DA3C54" w:rsidTr="003D7404" w14:paraId="6FAA04E5" w14:textId="77777777">
        <w:trPr>
          <w:trHeight w:val="288" w:hRule="exact"/>
        </w:trPr>
        <w:tc>
          <w:tcPr>
            <w:tcW w:w="3828" w:type="dxa"/>
          </w:tcPr>
          <w:p w:rsidRPr="003D7404" w:rsidR="00DA3C54" w:rsidP="00FD7C4E" w:rsidRDefault="00DA3C54" w14:paraId="2935ED05" w14:textId="77777777">
            <w:pPr>
              <w:rPr>
                <w:rFonts w:asciiTheme="minorHAnsi" w:hAnsiTheme="minorHAnsi" w:cstheme="minorHAnsi"/>
                <w:b/>
                <w:sz w:val="20"/>
                <w:szCs w:val="20"/>
              </w:rPr>
            </w:pPr>
            <w:r>
              <w:rPr>
                <w:rFonts w:asciiTheme="minorHAnsi" w:hAnsiTheme="minorHAnsi" w:cstheme="minorHAnsi"/>
                <w:sz w:val="20"/>
                <w:szCs w:val="20"/>
              </w:rPr>
              <w:t xml:space="preserve">DEP </w:t>
            </w:r>
          </w:p>
        </w:tc>
        <w:tc>
          <w:tcPr>
            <w:tcW w:w="6242" w:type="dxa"/>
          </w:tcPr>
          <w:p w:rsidRPr="003D7404" w:rsidR="00DA3C54" w:rsidP="00FD7C4E" w:rsidRDefault="00DA3C54" w14:paraId="14D2A253" w14:textId="77777777">
            <w:pPr>
              <w:rPr>
                <w:rFonts w:asciiTheme="minorHAnsi" w:hAnsiTheme="minorHAnsi" w:cstheme="minorHAnsi"/>
                <w:sz w:val="20"/>
                <w:szCs w:val="20"/>
              </w:rPr>
            </w:pPr>
            <w:r>
              <w:rPr>
                <w:rFonts w:asciiTheme="minorHAnsi" w:hAnsiTheme="minorHAnsi" w:cstheme="minorHAnsi"/>
                <w:sz w:val="20"/>
                <w:szCs w:val="20"/>
              </w:rPr>
              <w:t>Directorate for Economic Planning (BiH)</w:t>
            </w:r>
          </w:p>
        </w:tc>
      </w:tr>
      <w:tr w:rsidRPr="0013674B" w:rsidR="00DA3C54" w:rsidTr="003D7404" w14:paraId="2A453B49" w14:textId="77777777">
        <w:trPr>
          <w:trHeight w:val="288" w:hRule="exact"/>
        </w:trPr>
        <w:tc>
          <w:tcPr>
            <w:tcW w:w="3828" w:type="dxa"/>
          </w:tcPr>
          <w:p w:rsidRPr="003D7404" w:rsidR="00DA3C54" w:rsidP="00FD7C4E" w:rsidRDefault="00DA3C54" w14:paraId="688AAE9D" w14:textId="77777777">
            <w:pPr>
              <w:rPr>
                <w:rFonts w:asciiTheme="minorHAnsi" w:hAnsiTheme="minorHAnsi" w:cstheme="minorHAnsi"/>
                <w:b/>
                <w:sz w:val="20"/>
                <w:szCs w:val="20"/>
              </w:rPr>
            </w:pPr>
            <w:r>
              <w:rPr>
                <w:rFonts w:asciiTheme="minorHAnsi" w:hAnsiTheme="minorHAnsi" w:cstheme="minorHAnsi"/>
                <w:sz w:val="20"/>
                <w:szCs w:val="20"/>
              </w:rPr>
              <w:t xml:space="preserve">DIM </w:t>
            </w:r>
          </w:p>
        </w:tc>
        <w:tc>
          <w:tcPr>
            <w:tcW w:w="6242" w:type="dxa"/>
          </w:tcPr>
          <w:p w:rsidRPr="003D7404" w:rsidR="00DA3C54" w:rsidP="00FD7C4E" w:rsidRDefault="00DA3C54" w14:paraId="2B59ACC1" w14:textId="77777777">
            <w:pPr>
              <w:rPr>
                <w:rFonts w:asciiTheme="minorHAnsi" w:hAnsiTheme="minorHAnsi" w:cstheme="minorHAnsi"/>
                <w:sz w:val="20"/>
                <w:szCs w:val="20"/>
              </w:rPr>
            </w:pPr>
            <w:r>
              <w:rPr>
                <w:rFonts w:asciiTheme="minorHAnsi" w:hAnsiTheme="minorHAnsi" w:cstheme="minorHAnsi"/>
                <w:sz w:val="20"/>
                <w:szCs w:val="20"/>
              </w:rPr>
              <w:t>Direct Implementation Modality</w:t>
            </w:r>
          </w:p>
        </w:tc>
      </w:tr>
      <w:tr w:rsidRPr="0013674B" w:rsidR="00DA3C54" w:rsidTr="003D7404" w14:paraId="4AFD730F" w14:textId="77777777">
        <w:trPr>
          <w:trHeight w:val="288" w:hRule="exact"/>
        </w:trPr>
        <w:tc>
          <w:tcPr>
            <w:tcW w:w="3828" w:type="dxa"/>
          </w:tcPr>
          <w:p w:rsidRPr="003D7404" w:rsidR="00DA3C54" w:rsidP="00FD7C4E" w:rsidRDefault="00DA3C54" w14:paraId="3D002AD3" w14:textId="77777777">
            <w:pPr>
              <w:rPr>
                <w:rFonts w:asciiTheme="minorHAnsi" w:hAnsiTheme="minorHAnsi" w:cstheme="minorHAnsi"/>
                <w:b/>
                <w:sz w:val="20"/>
                <w:szCs w:val="20"/>
              </w:rPr>
            </w:pPr>
            <w:r>
              <w:rPr>
                <w:rFonts w:asciiTheme="minorHAnsi" w:hAnsiTheme="minorHAnsi" w:cstheme="minorHAnsi"/>
                <w:sz w:val="20"/>
                <w:szCs w:val="20"/>
              </w:rPr>
              <w:t xml:space="preserve">FBIH </w:t>
            </w:r>
          </w:p>
        </w:tc>
        <w:tc>
          <w:tcPr>
            <w:tcW w:w="6242" w:type="dxa"/>
          </w:tcPr>
          <w:p w:rsidRPr="003D7404" w:rsidR="00DA3C54" w:rsidP="00FD7C4E" w:rsidRDefault="00DA3C54" w14:paraId="4A77A92F" w14:textId="77777777">
            <w:pPr>
              <w:rPr>
                <w:rFonts w:asciiTheme="minorHAnsi" w:hAnsiTheme="minorHAnsi" w:cstheme="minorHAnsi"/>
                <w:sz w:val="20"/>
                <w:szCs w:val="20"/>
              </w:rPr>
            </w:pPr>
            <w:r>
              <w:rPr>
                <w:rFonts w:asciiTheme="minorHAnsi" w:hAnsiTheme="minorHAnsi" w:cstheme="minorHAnsi"/>
                <w:sz w:val="20"/>
                <w:szCs w:val="20"/>
              </w:rPr>
              <w:t>Federation of Bosnia and Herzegovina</w:t>
            </w:r>
          </w:p>
          <w:p w:rsidRPr="003D7404" w:rsidR="00742EF7" w:rsidP="00FD7C4E" w:rsidRDefault="00742EF7" w14:paraId="6BA24351" w14:textId="77777777">
            <w:pPr>
              <w:rPr>
                <w:rFonts w:asciiTheme="minorHAnsi" w:hAnsiTheme="minorHAnsi" w:cstheme="minorHAnsi"/>
                <w:sz w:val="20"/>
                <w:szCs w:val="20"/>
              </w:rPr>
            </w:pPr>
          </w:p>
        </w:tc>
      </w:tr>
      <w:tr w:rsidR="00742EF7" w:rsidTr="003D7404" w14:paraId="03129833" w14:textId="77777777">
        <w:trPr>
          <w:trHeight w:val="288"/>
        </w:trPr>
        <w:tc>
          <w:tcPr>
            <w:tcW w:w="3828" w:type="dxa"/>
          </w:tcPr>
          <w:p w:rsidRPr="003D7404" w:rsidR="00742EF7" w:rsidP="00FD7C4E" w:rsidRDefault="00742EF7" w14:paraId="7833F15E" w14:textId="77777777">
            <w:pPr>
              <w:rPr>
                <w:rFonts w:asciiTheme="minorHAnsi" w:hAnsiTheme="minorHAnsi" w:cstheme="minorBidi"/>
                <w:b/>
                <w:bCs/>
                <w:sz w:val="20"/>
                <w:szCs w:val="20"/>
              </w:rPr>
            </w:pPr>
            <w:r>
              <w:rPr>
                <w:rFonts w:asciiTheme="minorHAnsi" w:hAnsiTheme="minorHAnsi" w:cstheme="minorHAnsi"/>
                <w:sz w:val="20"/>
                <w:szCs w:val="20"/>
              </w:rPr>
              <w:t xml:space="preserve">FZZPR </w:t>
            </w:r>
          </w:p>
        </w:tc>
        <w:tc>
          <w:tcPr>
            <w:tcW w:w="6242" w:type="dxa"/>
          </w:tcPr>
          <w:p w:rsidRPr="003D7404" w:rsidR="00742EF7" w:rsidP="00FD7C4E" w:rsidRDefault="00742EF7" w14:paraId="7BBFAB11" w14:textId="77777777">
            <w:pPr>
              <w:rPr>
                <w:rFonts w:eastAsia="Times New Roman" w:asciiTheme="minorHAnsi" w:hAnsiTheme="minorHAnsi" w:cstheme="minorBidi"/>
                <w:sz w:val="20"/>
                <w:szCs w:val="20"/>
              </w:rPr>
            </w:pPr>
            <w:r>
              <w:rPr>
                <w:rFonts w:asciiTheme="minorHAnsi" w:hAnsiTheme="minorHAnsi" w:cstheme="minorHAnsi"/>
                <w:sz w:val="20"/>
                <w:szCs w:val="20"/>
              </w:rPr>
              <w:t>Federal Institute for Development Programming</w:t>
            </w:r>
          </w:p>
        </w:tc>
      </w:tr>
      <w:tr w:rsidR="00DA3C54" w:rsidTr="003D7404" w14:paraId="6A57A98E" w14:textId="77777777">
        <w:trPr>
          <w:trHeight w:val="288"/>
        </w:trPr>
        <w:tc>
          <w:tcPr>
            <w:tcW w:w="3828" w:type="dxa"/>
          </w:tcPr>
          <w:p w:rsidRPr="003D7404" w:rsidR="00DA3C54" w:rsidP="00FD7C4E" w:rsidRDefault="00DA3C54" w14:paraId="7B659B17" w14:textId="77777777">
            <w:pPr>
              <w:rPr>
                <w:rFonts w:asciiTheme="minorHAnsi" w:hAnsiTheme="minorHAnsi" w:cstheme="minorBidi"/>
                <w:b/>
                <w:bCs/>
                <w:sz w:val="20"/>
                <w:szCs w:val="20"/>
              </w:rPr>
            </w:pPr>
            <w:r>
              <w:rPr>
                <w:rFonts w:asciiTheme="minorHAnsi" w:hAnsiTheme="minorHAnsi" w:cstheme="minorBidi"/>
                <w:bCs/>
                <w:sz w:val="20"/>
                <w:szCs w:val="20"/>
              </w:rPr>
              <w:t>GRI</w:t>
            </w:r>
          </w:p>
        </w:tc>
        <w:tc>
          <w:tcPr>
            <w:tcW w:w="6242" w:type="dxa"/>
          </w:tcPr>
          <w:p w:rsidRPr="003D7404" w:rsidR="00DA3C54" w:rsidP="00FD7C4E" w:rsidRDefault="00DA3C54" w14:paraId="03FBB4E7" w14:textId="77777777">
            <w:pPr>
              <w:rPr>
                <w:rFonts w:eastAsia="Times New Roman" w:asciiTheme="minorHAnsi" w:hAnsiTheme="minorHAnsi" w:cstheme="minorBidi"/>
                <w:sz w:val="20"/>
                <w:szCs w:val="20"/>
              </w:rPr>
            </w:pPr>
            <w:r>
              <w:rPr>
                <w:rFonts w:eastAsia="Times New Roman" w:asciiTheme="minorHAnsi" w:hAnsiTheme="minorHAnsi" w:cstheme="minorBidi"/>
                <w:sz w:val="20"/>
                <w:szCs w:val="20"/>
              </w:rPr>
              <w:t>Global Reporting Initiative</w:t>
            </w:r>
          </w:p>
        </w:tc>
      </w:tr>
      <w:tr w:rsidRPr="0013674B" w:rsidR="00DA3C54" w:rsidTr="003D7404" w14:paraId="24C02E8A" w14:textId="77777777">
        <w:trPr>
          <w:trHeight w:val="288" w:hRule="exact"/>
        </w:trPr>
        <w:tc>
          <w:tcPr>
            <w:tcW w:w="3828" w:type="dxa"/>
          </w:tcPr>
          <w:p w:rsidRPr="003D7404" w:rsidR="00DA3C54" w:rsidP="00FD7C4E" w:rsidRDefault="00DA3C54" w14:paraId="401089CC" w14:textId="77777777">
            <w:pPr>
              <w:rPr>
                <w:rFonts w:asciiTheme="minorHAnsi" w:hAnsiTheme="minorHAnsi" w:cstheme="minorHAnsi"/>
                <w:b/>
                <w:sz w:val="20"/>
                <w:szCs w:val="20"/>
              </w:rPr>
            </w:pPr>
            <w:r>
              <w:rPr>
                <w:rFonts w:asciiTheme="minorHAnsi" w:hAnsiTheme="minorHAnsi" w:cstheme="minorHAnsi"/>
                <w:sz w:val="20"/>
                <w:szCs w:val="20"/>
              </w:rPr>
              <w:t xml:space="preserve">HLPF </w:t>
            </w:r>
          </w:p>
        </w:tc>
        <w:tc>
          <w:tcPr>
            <w:tcW w:w="6242" w:type="dxa"/>
          </w:tcPr>
          <w:p w:rsidRPr="003D7404" w:rsidR="00DA3C54" w:rsidP="00FD7C4E" w:rsidRDefault="00DA3C54" w14:paraId="55832F73" w14:textId="77777777">
            <w:pPr>
              <w:rPr>
                <w:rFonts w:asciiTheme="minorHAnsi" w:hAnsiTheme="minorHAnsi" w:cstheme="minorHAnsi"/>
                <w:sz w:val="20"/>
                <w:szCs w:val="20"/>
              </w:rPr>
            </w:pPr>
            <w:r>
              <w:rPr>
                <w:rFonts w:asciiTheme="minorHAnsi" w:hAnsiTheme="minorHAnsi" w:cstheme="minorHAnsi"/>
                <w:sz w:val="20"/>
                <w:szCs w:val="20"/>
              </w:rPr>
              <w:t>High-Level Political Forum</w:t>
            </w:r>
          </w:p>
        </w:tc>
      </w:tr>
      <w:tr w:rsidR="00DA3C54" w:rsidTr="003D7404" w14:paraId="147036B5" w14:textId="77777777">
        <w:trPr>
          <w:trHeight w:val="288"/>
        </w:trPr>
        <w:tc>
          <w:tcPr>
            <w:tcW w:w="3828" w:type="dxa"/>
          </w:tcPr>
          <w:p w:rsidRPr="003D7404" w:rsidR="00DA3C54" w:rsidP="00FD7C4E" w:rsidRDefault="00DA3C54" w14:paraId="7BC61CDA" w14:textId="77777777">
            <w:pPr>
              <w:rPr>
                <w:rFonts w:asciiTheme="minorHAnsi" w:hAnsiTheme="minorHAnsi" w:cstheme="minorBidi"/>
                <w:b/>
                <w:bCs/>
                <w:sz w:val="20"/>
                <w:szCs w:val="20"/>
              </w:rPr>
            </w:pPr>
            <w:r>
              <w:rPr>
                <w:rFonts w:asciiTheme="minorHAnsi" w:hAnsiTheme="minorHAnsi" w:cstheme="minorBidi"/>
                <w:bCs/>
                <w:sz w:val="20"/>
                <w:szCs w:val="20"/>
              </w:rPr>
              <w:t>IFI</w:t>
            </w:r>
          </w:p>
        </w:tc>
        <w:tc>
          <w:tcPr>
            <w:tcW w:w="6242" w:type="dxa"/>
          </w:tcPr>
          <w:p w:rsidRPr="003D7404" w:rsidR="00DA3C54" w:rsidP="00FD7C4E" w:rsidRDefault="00DA3C54" w14:paraId="7A4DC44A" w14:textId="77777777">
            <w:pPr>
              <w:rPr>
                <w:rFonts w:asciiTheme="minorHAnsi" w:hAnsiTheme="minorHAnsi" w:cstheme="minorBidi"/>
                <w:sz w:val="20"/>
                <w:szCs w:val="20"/>
              </w:rPr>
            </w:pPr>
            <w:r>
              <w:rPr>
                <w:rFonts w:asciiTheme="minorHAnsi" w:hAnsiTheme="minorHAnsi" w:cstheme="minorBidi"/>
                <w:sz w:val="20"/>
                <w:szCs w:val="20"/>
              </w:rPr>
              <w:t>International Financial Institution</w:t>
            </w:r>
          </w:p>
        </w:tc>
      </w:tr>
      <w:tr w:rsidRPr="0013674B" w:rsidR="00DA3C54" w:rsidTr="003D7404" w14:paraId="4F5B15C4" w14:textId="77777777">
        <w:trPr>
          <w:trHeight w:val="288" w:hRule="exact"/>
        </w:trPr>
        <w:tc>
          <w:tcPr>
            <w:tcW w:w="3828" w:type="dxa"/>
          </w:tcPr>
          <w:p w:rsidRPr="003D7404" w:rsidR="00DA3C54" w:rsidP="00FD7C4E" w:rsidRDefault="00DA3C54" w14:paraId="2FEF7FEB" w14:textId="77777777">
            <w:pPr>
              <w:rPr>
                <w:rFonts w:asciiTheme="minorHAnsi" w:hAnsiTheme="minorHAnsi" w:cstheme="minorHAnsi"/>
                <w:b/>
                <w:sz w:val="20"/>
                <w:szCs w:val="20"/>
              </w:rPr>
            </w:pPr>
            <w:r>
              <w:rPr>
                <w:rFonts w:asciiTheme="minorHAnsi" w:hAnsiTheme="minorHAnsi" w:cstheme="minorHAnsi"/>
                <w:sz w:val="20"/>
                <w:szCs w:val="20"/>
              </w:rPr>
              <w:t xml:space="preserve">IPA </w:t>
            </w:r>
          </w:p>
        </w:tc>
        <w:tc>
          <w:tcPr>
            <w:tcW w:w="6242" w:type="dxa"/>
          </w:tcPr>
          <w:p w:rsidRPr="003D7404" w:rsidR="00DA3C54" w:rsidP="00FD7C4E" w:rsidRDefault="00DA3C54" w14:paraId="120B1CC3" w14:textId="77777777">
            <w:pPr>
              <w:rPr>
                <w:rFonts w:asciiTheme="minorHAnsi" w:hAnsiTheme="minorHAnsi" w:cstheme="minorHAnsi"/>
                <w:sz w:val="20"/>
                <w:szCs w:val="20"/>
              </w:rPr>
            </w:pPr>
            <w:r>
              <w:rPr>
                <w:rFonts w:asciiTheme="minorHAnsi" w:hAnsiTheme="minorHAnsi" w:cstheme="minorHAnsi"/>
                <w:sz w:val="20"/>
                <w:szCs w:val="20"/>
              </w:rPr>
              <w:t>Instrument for Pre-Accession Assistance</w:t>
            </w:r>
          </w:p>
        </w:tc>
      </w:tr>
      <w:tr w:rsidR="00DA3C54" w:rsidTr="003D7404" w14:paraId="7494565C" w14:textId="77777777">
        <w:trPr>
          <w:trHeight w:val="288"/>
        </w:trPr>
        <w:tc>
          <w:tcPr>
            <w:tcW w:w="3828" w:type="dxa"/>
          </w:tcPr>
          <w:p w:rsidRPr="003D7404" w:rsidR="00DA3C54" w:rsidP="00FD7C4E" w:rsidRDefault="00DA3C54" w14:paraId="745EF17E" w14:textId="77777777">
            <w:pPr>
              <w:rPr>
                <w:rFonts w:asciiTheme="minorHAnsi" w:hAnsiTheme="minorHAnsi" w:cstheme="minorBidi"/>
                <w:b/>
                <w:bCs/>
                <w:sz w:val="20"/>
                <w:szCs w:val="20"/>
              </w:rPr>
            </w:pPr>
            <w:r>
              <w:rPr>
                <w:rFonts w:asciiTheme="minorHAnsi" w:hAnsiTheme="minorHAnsi" w:cstheme="minorBidi"/>
                <w:bCs/>
                <w:sz w:val="20"/>
                <w:szCs w:val="20"/>
              </w:rPr>
              <w:t>LG</w:t>
            </w:r>
          </w:p>
        </w:tc>
        <w:tc>
          <w:tcPr>
            <w:tcW w:w="6242" w:type="dxa"/>
          </w:tcPr>
          <w:p w:rsidRPr="003D7404" w:rsidR="00DA3C54" w:rsidP="00FD7C4E" w:rsidRDefault="00DA3C54" w14:paraId="79636130" w14:textId="77777777">
            <w:pPr>
              <w:rPr>
                <w:rFonts w:asciiTheme="minorHAnsi" w:hAnsiTheme="minorHAnsi" w:cstheme="minorBidi"/>
                <w:sz w:val="20"/>
                <w:szCs w:val="20"/>
              </w:rPr>
            </w:pPr>
            <w:r>
              <w:rPr>
                <w:rFonts w:asciiTheme="minorHAnsi" w:hAnsiTheme="minorHAnsi" w:cstheme="minorBidi"/>
                <w:sz w:val="20"/>
                <w:szCs w:val="20"/>
              </w:rPr>
              <w:t>Local Government</w:t>
            </w:r>
          </w:p>
        </w:tc>
      </w:tr>
      <w:tr w:rsidR="00DA3C54" w:rsidTr="003D7404" w14:paraId="36634CF2" w14:textId="77777777">
        <w:trPr>
          <w:trHeight w:val="288"/>
        </w:trPr>
        <w:tc>
          <w:tcPr>
            <w:tcW w:w="3828" w:type="dxa"/>
          </w:tcPr>
          <w:p w:rsidRPr="003D7404" w:rsidR="00DA3C54" w:rsidP="00FD7C4E" w:rsidRDefault="00DA3C54" w14:paraId="79C20539" w14:textId="77777777">
            <w:pPr>
              <w:rPr>
                <w:rFonts w:asciiTheme="minorHAnsi" w:hAnsiTheme="minorHAnsi" w:cstheme="minorBidi"/>
                <w:b/>
                <w:bCs/>
                <w:sz w:val="20"/>
                <w:szCs w:val="20"/>
              </w:rPr>
            </w:pPr>
            <w:r>
              <w:rPr>
                <w:rFonts w:asciiTheme="minorHAnsi" w:hAnsiTheme="minorHAnsi" w:cstheme="minorBidi"/>
                <w:bCs/>
                <w:sz w:val="20"/>
                <w:szCs w:val="20"/>
              </w:rPr>
              <w:t>LNOB</w:t>
            </w:r>
          </w:p>
        </w:tc>
        <w:tc>
          <w:tcPr>
            <w:tcW w:w="6242" w:type="dxa"/>
          </w:tcPr>
          <w:p w:rsidRPr="003D7404" w:rsidR="00DA3C54" w:rsidP="00FD7C4E" w:rsidRDefault="00DA3C54" w14:paraId="234F5B03" w14:textId="77777777">
            <w:pPr>
              <w:rPr>
                <w:rFonts w:asciiTheme="minorHAnsi" w:hAnsiTheme="minorHAnsi" w:cstheme="minorBidi"/>
                <w:sz w:val="20"/>
                <w:szCs w:val="20"/>
              </w:rPr>
            </w:pPr>
            <w:r>
              <w:rPr>
                <w:rFonts w:asciiTheme="minorHAnsi" w:hAnsiTheme="minorHAnsi" w:cstheme="minorBidi"/>
                <w:sz w:val="20"/>
                <w:szCs w:val="20"/>
              </w:rPr>
              <w:t>Leave No One Behind</w:t>
            </w:r>
          </w:p>
        </w:tc>
      </w:tr>
      <w:tr w:rsidR="00DA3C54" w:rsidTr="003D7404" w14:paraId="5F7B4EB2" w14:textId="77777777">
        <w:trPr>
          <w:trHeight w:val="288"/>
        </w:trPr>
        <w:tc>
          <w:tcPr>
            <w:tcW w:w="3828" w:type="dxa"/>
          </w:tcPr>
          <w:p w:rsidRPr="003D7404" w:rsidR="00DA3C54" w:rsidP="00FD7C4E" w:rsidRDefault="00DA3C54" w14:paraId="1A8BA500" w14:textId="77777777">
            <w:pPr>
              <w:rPr>
                <w:rFonts w:asciiTheme="minorHAnsi" w:hAnsiTheme="minorHAnsi" w:cstheme="minorBidi"/>
                <w:b/>
                <w:bCs/>
                <w:sz w:val="20"/>
                <w:szCs w:val="20"/>
              </w:rPr>
            </w:pPr>
            <w:r>
              <w:rPr>
                <w:rFonts w:asciiTheme="minorHAnsi" w:hAnsiTheme="minorHAnsi" w:cstheme="minorBidi"/>
                <w:bCs/>
                <w:sz w:val="20"/>
                <w:szCs w:val="20"/>
              </w:rPr>
              <w:t>LSU</w:t>
            </w:r>
          </w:p>
        </w:tc>
        <w:tc>
          <w:tcPr>
            <w:tcW w:w="6242" w:type="dxa"/>
          </w:tcPr>
          <w:p w:rsidRPr="003D7404" w:rsidR="00DA3C54" w:rsidP="00FD7C4E" w:rsidRDefault="00DA3C54" w14:paraId="7A45B69B" w14:textId="77777777">
            <w:pPr>
              <w:rPr>
                <w:rFonts w:asciiTheme="minorHAnsi" w:hAnsiTheme="minorHAnsi" w:cstheme="minorBidi"/>
                <w:sz w:val="20"/>
                <w:szCs w:val="20"/>
              </w:rPr>
            </w:pPr>
            <w:r>
              <w:rPr>
                <w:rFonts w:asciiTheme="minorHAnsi" w:hAnsiTheme="minorHAnsi" w:cstheme="minorBidi"/>
                <w:sz w:val="20"/>
                <w:szCs w:val="20"/>
              </w:rPr>
              <w:t>Local Self-Government Unit</w:t>
            </w:r>
          </w:p>
        </w:tc>
      </w:tr>
      <w:tr w:rsidRPr="0013674B" w:rsidR="00DA3C54" w:rsidTr="003D7404" w14:paraId="78A84398" w14:textId="77777777">
        <w:trPr>
          <w:trHeight w:val="288" w:hRule="exact"/>
        </w:trPr>
        <w:tc>
          <w:tcPr>
            <w:tcW w:w="3828" w:type="dxa"/>
          </w:tcPr>
          <w:p w:rsidRPr="003D7404" w:rsidR="00DA3C54" w:rsidP="00FD7C4E" w:rsidRDefault="00DA3C54" w14:paraId="1886DC35" w14:textId="77777777">
            <w:pPr>
              <w:rPr>
                <w:rFonts w:asciiTheme="minorHAnsi" w:hAnsiTheme="minorHAnsi" w:cstheme="minorHAnsi"/>
                <w:b/>
                <w:sz w:val="20"/>
                <w:szCs w:val="20"/>
              </w:rPr>
            </w:pPr>
            <w:r>
              <w:rPr>
                <w:rFonts w:asciiTheme="minorHAnsi" w:hAnsiTheme="minorHAnsi" w:cstheme="minorHAnsi"/>
                <w:sz w:val="20"/>
                <w:szCs w:val="20"/>
              </w:rPr>
              <w:t xml:space="preserve">M&amp;E </w:t>
            </w:r>
          </w:p>
        </w:tc>
        <w:tc>
          <w:tcPr>
            <w:tcW w:w="6242" w:type="dxa"/>
          </w:tcPr>
          <w:p w:rsidRPr="003D7404" w:rsidR="00DA3C54" w:rsidP="00FD7C4E" w:rsidRDefault="00DA3C54" w14:paraId="08BA930E" w14:textId="77777777">
            <w:pPr>
              <w:rPr>
                <w:rFonts w:asciiTheme="minorHAnsi" w:hAnsiTheme="minorHAnsi" w:cstheme="minorHAnsi"/>
                <w:sz w:val="20"/>
                <w:szCs w:val="20"/>
              </w:rPr>
            </w:pPr>
            <w:r>
              <w:rPr>
                <w:rFonts w:asciiTheme="minorHAnsi" w:hAnsiTheme="minorHAnsi" w:cstheme="minorHAnsi"/>
                <w:sz w:val="20"/>
                <w:szCs w:val="20"/>
              </w:rPr>
              <w:t>Monitoring and Evaluation</w:t>
            </w:r>
          </w:p>
        </w:tc>
      </w:tr>
      <w:tr w:rsidR="00DA3C54" w:rsidTr="003D7404" w14:paraId="1B39C8CF" w14:textId="77777777">
        <w:trPr>
          <w:trHeight w:val="288"/>
        </w:trPr>
        <w:tc>
          <w:tcPr>
            <w:tcW w:w="3828" w:type="dxa"/>
          </w:tcPr>
          <w:p w:rsidRPr="003D7404" w:rsidR="00DA3C54" w:rsidP="00FD7C4E" w:rsidRDefault="00DA3C54" w14:paraId="6A36114E" w14:textId="77777777">
            <w:pPr>
              <w:rPr>
                <w:rFonts w:asciiTheme="minorHAnsi" w:hAnsiTheme="minorHAnsi" w:cstheme="minorBidi"/>
                <w:b/>
                <w:bCs/>
                <w:sz w:val="20"/>
                <w:szCs w:val="20"/>
              </w:rPr>
            </w:pPr>
            <w:r>
              <w:rPr>
                <w:rFonts w:asciiTheme="minorHAnsi" w:hAnsiTheme="minorHAnsi" w:cstheme="minorBidi"/>
                <w:bCs/>
                <w:sz w:val="20"/>
                <w:szCs w:val="20"/>
              </w:rPr>
              <w:t>MDB</w:t>
            </w:r>
          </w:p>
        </w:tc>
        <w:tc>
          <w:tcPr>
            <w:tcW w:w="6242" w:type="dxa"/>
          </w:tcPr>
          <w:p w:rsidRPr="003D7404" w:rsidR="00DA3C54" w:rsidP="00FD7C4E" w:rsidRDefault="00DA3C54" w14:paraId="3742DD8A" w14:textId="77777777">
            <w:pPr>
              <w:rPr>
                <w:rFonts w:asciiTheme="minorHAnsi" w:hAnsiTheme="minorHAnsi" w:cstheme="minorBidi"/>
                <w:sz w:val="20"/>
                <w:szCs w:val="20"/>
              </w:rPr>
            </w:pPr>
            <w:r>
              <w:rPr>
                <w:rFonts w:asciiTheme="minorHAnsi" w:hAnsiTheme="minorHAnsi" w:cstheme="minorBidi"/>
                <w:sz w:val="20"/>
                <w:szCs w:val="20"/>
              </w:rPr>
              <w:t>Multilateral Development Bank</w:t>
            </w:r>
          </w:p>
        </w:tc>
      </w:tr>
      <w:tr w:rsidRPr="0013674B" w:rsidR="00DA3C54" w:rsidTr="003D7404" w14:paraId="0B4DB25E" w14:textId="77777777">
        <w:trPr>
          <w:trHeight w:val="288" w:hRule="exact"/>
        </w:trPr>
        <w:tc>
          <w:tcPr>
            <w:tcW w:w="3828" w:type="dxa"/>
          </w:tcPr>
          <w:p w:rsidRPr="003D7404" w:rsidR="00DA3C54" w:rsidP="00FD7C4E" w:rsidRDefault="00DA3C54" w14:paraId="12D9603A" w14:textId="77777777">
            <w:pPr>
              <w:rPr>
                <w:rFonts w:asciiTheme="minorHAnsi" w:hAnsiTheme="minorHAnsi" w:cstheme="minorHAnsi"/>
                <w:b/>
                <w:sz w:val="20"/>
                <w:szCs w:val="20"/>
              </w:rPr>
            </w:pPr>
            <w:r>
              <w:rPr>
                <w:rFonts w:asciiTheme="minorHAnsi" w:hAnsiTheme="minorHAnsi" w:cstheme="minorHAnsi"/>
                <w:sz w:val="20"/>
                <w:szCs w:val="20"/>
              </w:rPr>
              <w:t xml:space="preserve">MFA </w:t>
            </w:r>
          </w:p>
        </w:tc>
        <w:tc>
          <w:tcPr>
            <w:tcW w:w="6242" w:type="dxa"/>
          </w:tcPr>
          <w:p w:rsidRPr="003D7404" w:rsidR="00DA3C54" w:rsidP="00FD7C4E" w:rsidRDefault="00DA3C54" w14:paraId="384D5F4C" w14:textId="77777777">
            <w:pPr>
              <w:rPr>
                <w:rFonts w:asciiTheme="minorHAnsi" w:hAnsiTheme="minorHAnsi" w:cstheme="minorHAnsi"/>
                <w:sz w:val="20"/>
                <w:szCs w:val="20"/>
              </w:rPr>
            </w:pPr>
            <w:r>
              <w:rPr>
                <w:rFonts w:asciiTheme="minorHAnsi" w:hAnsiTheme="minorHAnsi" w:cstheme="minorHAnsi"/>
                <w:sz w:val="20"/>
                <w:szCs w:val="20"/>
              </w:rPr>
              <w:t>Ministry of Foreign Affairs of Bosnia and Herzegovina</w:t>
            </w:r>
          </w:p>
        </w:tc>
      </w:tr>
      <w:tr w:rsidRPr="0013674B" w:rsidR="00DA3C54" w:rsidTr="003D7404" w14:paraId="63C9EFB9" w14:textId="77777777">
        <w:trPr>
          <w:trHeight w:val="288" w:hRule="exact"/>
        </w:trPr>
        <w:tc>
          <w:tcPr>
            <w:tcW w:w="3828" w:type="dxa"/>
          </w:tcPr>
          <w:p w:rsidRPr="003D7404" w:rsidR="00DA3C54" w:rsidP="00FD7C4E" w:rsidRDefault="00DA3C54" w14:paraId="3EC065C3" w14:textId="77777777">
            <w:pPr>
              <w:rPr>
                <w:rFonts w:asciiTheme="minorHAnsi" w:hAnsiTheme="minorHAnsi" w:cstheme="minorHAnsi"/>
                <w:b/>
                <w:sz w:val="20"/>
                <w:szCs w:val="20"/>
              </w:rPr>
            </w:pPr>
            <w:r>
              <w:rPr>
                <w:rFonts w:asciiTheme="minorHAnsi" w:hAnsiTheme="minorHAnsi" w:cstheme="minorHAnsi"/>
                <w:sz w:val="20"/>
                <w:szCs w:val="20"/>
              </w:rPr>
              <w:t>MoU</w:t>
            </w:r>
          </w:p>
        </w:tc>
        <w:tc>
          <w:tcPr>
            <w:tcW w:w="6242" w:type="dxa"/>
          </w:tcPr>
          <w:p w:rsidRPr="003D7404" w:rsidR="00DA3C54" w:rsidP="00FD7C4E" w:rsidRDefault="00DA3C54" w14:paraId="760CCAB8" w14:textId="77777777">
            <w:pPr>
              <w:rPr>
                <w:rFonts w:asciiTheme="minorHAnsi" w:hAnsiTheme="minorHAnsi" w:cstheme="minorHAnsi"/>
                <w:sz w:val="20"/>
                <w:szCs w:val="20"/>
              </w:rPr>
            </w:pPr>
            <w:r>
              <w:rPr>
                <w:rFonts w:asciiTheme="minorHAnsi" w:hAnsiTheme="minorHAnsi" w:cstheme="minorHAnsi"/>
                <w:sz w:val="20"/>
                <w:szCs w:val="20"/>
              </w:rPr>
              <w:t>Memorandum of Understanding</w:t>
            </w:r>
          </w:p>
        </w:tc>
      </w:tr>
      <w:tr w:rsidRPr="0013674B" w:rsidR="00DA3C54" w:rsidTr="003D7404" w14:paraId="2F4A2670" w14:textId="77777777">
        <w:trPr>
          <w:trHeight w:val="288" w:hRule="exact"/>
        </w:trPr>
        <w:tc>
          <w:tcPr>
            <w:tcW w:w="3828" w:type="dxa"/>
          </w:tcPr>
          <w:p w:rsidRPr="003D7404" w:rsidR="00DA3C54" w:rsidP="00FD7C4E" w:rsidRDefault="00DA3C54" w14:paraId="54FE8836" w14:textId="77777777">
            <w:pPr>
              <w:rPr>
                <w:rFonts w:asciiTheme="minorHAnsi" w:hAnsiTheme="minorHAnsi" w:cstheme="minorHAnsi"/>
                <w:b/>
                <w:sz w:val="20"/>
                <w:szCs w:val="20"/>
              </w:rPr>
            </w:pPr>
            <w:r>
              <w:rPr>
                <w:rFonts w:asciiTheme="minorHAnsi" w:hAnsiTheme="minorHAnsi" w:cstheme="minorHAnsi"/>
                <w:sz w:val="20"/>
                <w:szCs w:val="20"/>
              </w:rPr>
              <w:t>NGO</w:t>
            </w:r>
          </w:p>
        </w:tc>
        <w:tc>
          <w:tcPr>
            <w:tcW w:w="6242" w:type="dxa"/>
          </w:tcPr>
          <w:p w:rsidRPr="003D7404" w:rsidR="00DA3C54" w:rsidP="00FD7C4E" w:rsidRDefault="00DA3C54" w14:paraId="43BC710F" w14:textId="77777777">
            <w:pPr>
              <w:rPr>
                <w:rFonts w:asciiTheme="minorHAnsi" w:hAnsiTheme="minorHAnsi" w:cstheme="minorHAnsi"/>
                <w:sz w:val="20"/>
                <w:szCs w:val="20"/>
              </w:rPr>
            </w:pPr>
            <w:r>
              <w:rPr>
                <w:rFonts w:asciiTheme="minorHAnsi" w:hAnsiTheme="minorHAnsi" w:cstheme="minorHAnsi"/>
                <w:sz w:val="20"/>
                <w:szCs w:val="20"/>
              </w:rPr>
              <w:t>Non-governmental organization</w:t>
            </w:r>
          </w:p>
        </w:tc>
      </w:tr>
      <w:tr w:rsidR="00DA3C54" w:rsidTr="003D7404" w14:paraId="3E206B74" w14:textId="77777777">
        <w:trPr>
          <w:trHeight w:val="288"/>
        </w:trPr>
        <w:tc>
          <w:tcPr>
            <w:tcW w:w="3828" w:type="dxa"/>
          </w:tcPr>
          <w:p w:rsidRPr="003D7404" w:rsidR="00DA3C54" w:rsidP="00FD7C4E" w:rsidRDefault="00DA3C54" w14:paraId="4AB1764C" w14:textId="77777777">
            <w:pPr>
              <w:rPr>
                <w:rFonts w:asciiTheme="minorHAnsi" w:hAnsiTheme="minorHAnsi" w:cstheme="minorBidi"/>
                <w:b/>
                <w:bCs/>
                <w:sz w:val="20"/>
                <w:szCs w:val="20"/>
              </w:rPr>
            </w:pPr>
            <w:r>
              <w:rPr>
                <w:rFonts w:asciiTheme="minorHAnsi" w:hAnsiTheme="minorHAnsi" w:cstheme="minorBidi"/>
                <w:bCs/>
                <w:sz w:val="20"/>
                <w:szCs w:val="20"/>
              </w:rPr>
              <w:t>OT</w:t>
            </w:r>
          </w:p>
        </w:tc>
        <w:tc>
          <w:tcPr>
            <w:tcW w:w="6242" w:type="dxa"/>
          </w:tcPr>
          <w:p w:rsidRPr="003D7404" w:rsidR="00DA3C54" w:rsidP="00FD7C4E" w:rsidRDefault="00DA3C54" w14:paraId="151412C2" w14:textId="77777777">
            <w:pPr>
              <w:rPr>
                <w:rFonts w:asciiTheme="minorHAnsi" w:hAnsiTheme="minorHAnsi" w:cstheme="minorBidi"/>
                <w:sz w:val="20"/>
                <w:szCs w:val="20"/>
              </w:rPr>
            </w:pPr>
            <w:r>
              <w:rPr>
                <w:rFonts w:asciiTheme="minorHAnsi" w:hAnsiTheme="minorHAnsi" w:cstheme="minorBidi"/>
                <w:sz w:val="20"/>
                <w:szCs w:val="20"/>
              </w:rPr>
              <w:t>Operation Teams</w:t>
            </w:r>
          </w:p>
        </w:tc>
      </w:tr>
      <w:tr w:rsidRPr="0013674B" w:rsidR="00DA3C54" w:rsidTr="003D7404" w14:paraId="5BC865C8" w14:textId="77777777">
        <w:trPr>
          <w:trHeight w:val="288" w:hRule="exact"/>
        </w:trPr>
        <w:tc>
          <w:tcPr>
            <w:tcW w:w="3828" w:type="dxa"/>
          </w:tcPr>
          <w:p w:rsidRPr="003D7404" w:rsidR="00DA3C54" w:rsidP="00FD7C4E" w:rsidRDefault="00DA3C54" w14:paraId="7CC705D9" w14:textId="77777777">
            <w:pPr>
              <w:rPr>
                <w:rFonts w:asciiTheme="minorHAnsi" w:hAnsiTheme="minorHAnsi" w:cstheme="minorHAnsi"/>
                <w:b/>
                <w:sz w:val="20"/>
                <w:szCs w:val="20"/>
              </w:rPr>
            </w:pPr>
            <w:proofErr w:type="spellStart"/>
            <w:r>
              <w:rPr>
                <w:rFonts w:asciiTheme="minorHAnsi" w:hAnsiTheme="minorHAnsi" w:cstheme="minorHAnsi"/>
                <w:sz w:val="20"/>
                <w:szCs w:val="20"/>
              </w:rPr>
              <w:t>ProDoc</w:t>
            </w:r>
            <w:proofErr w:type="spellEnd"/>
            <w:r>
              <w:rPr>
                <w:rFonts w:asciiTheme="minorHAnsi" w:hAnsiTheme="minorHAnsi" w:cstheme="minorHAnsi"/>
                <w:sz w:val="20"/>
                <w:szCs w:val="20"/>
              </w:rPr>
              <w:t xml:space="preserve"> </w:t>
            </w:r>
          </w:p>
        </w:tc>
        <w:tc>
          <w:tcPr>
            <w:tcW w:w="6242" w:type="dxa"/>
          </w:tcPr>
          <w:p w:rsidRPr="003D7404" w:rsidR="00DA3C54" w:rsidP="00FD7C4E" w:rsidRDefault="00DA3C54" w14:paraId="7A384552" w14:textId="77777777">
            <w:pPr>
              <w:rPr>
                <w:rFonts w:asciiTheme="minorHAnsi" w:hAnsiTheme="minorHAnsi" w:cstheme="minorHAnsi"/>
                <w:sz w:val="20"/>
                <w:szCs w:val="20"/>
              </w:rPr>
            </w:pPr>
            <w:r>
              <w:rPr>
                <w:rFonts w:asciiTheme="minorHAnsi" w:hAnsiTheme="minorHAnsi" w:cstheme="minorHAnsi"/>
                <w:sz w:val="20"/>
                <w:szCs w:val="20"/>
              </w:rPr>
              <w:t>Project Document</w:t>
            </w:r>
          </w:p>
        </w:tc>
      </w:tr>
      <w:tr w:rsidRPr="0013674B" w:rsidR="00DA3C54" w:rsidTr="003D7404" w14:paraId="58BAF9A6" w14:textId="77777777">
        <w:trPr>
          <w:trHeight w:val="288" w:hRule="exact"/>
        </w:trPr>
        <w:tc>
          <w:tcPr>
            <w:tcW w:w="3828" w:type="dxa"/>
          </w:tcPr>
          <w:p w:rsidRPr="003D7404" w:rsidR="00DA3C54" w:rsidP="00FD7C4E" w:rsidRDefault="00DA3C54" w14:paraId="31F58166" w14:textId="77777777">
            <w:pPr>
              <w:rPr>
                <w:rFonts w:asciiTheme="minorHAnsi" w:hAnsiTheme="minorHAnsi" w:cstheme="minorHAnsi"/>
                <w:b/>
                <w:sz w:val="20"/>
                <w:szCs w:val="20"/>
              </w:rPr>
            </w:pPr>
            <w:r>
              <w:rPr>
                <w:rFonts w:asciiTheme="minorHAnsi" w:hAnsiTheme="minorHAnsi" w:cstheme="minorHAnsi"/>
                <w:sz w:val="20"/>
                <w:szCs w:val="20"/>
              </w:rPr>
              <w:t>RCC</w:t>
            </w:r>
          </w:p>
        </w:tc>
        <w:tc>
          <w:tcPr>
            <w:tcW w:w="6242" w:type="dxa"/>
          </w:tcPr>
          <w:p w:rsidRPr="003D7404" w:rsidR="00DA3C54" w:rsidP="00FD7C4E" w:rsidRDefault="00DA3C54" w14:paraId="3271F46E" w14:textId="77777777">
            <w:pPr>
              <w:rPr>
                <w:rFonts w:asciiTheme="minorHAnsi" w:hAnsiTheme="minorHAnsi" w:cstheme="minorHAnsi"/>
                <w:sz w:val="20"/>
                <w:szCs w:val="20"/>
              </w:rPr>
            </w:pPr>
            <w:r>
              <w:rPr>
                <w:rFonts w:asciiTheme="minorHAnsi" w:hAnsiTheme="minorHAnsi" w:cstheme="minorHAnsi"/>
                <w:sz w:val="20"/>
                <w:szCs w:val="20"/>
              </w:rPr>
              <w:t>Regional Cooperation Council</w:t>
            </w:r>
          </w:p>
        </w:tc>
      </w:tr>
      <w:tr w:rsidRPr="0013674B" w:rsidR="00DA3C54" w:rsidTr="003D7404" w14:paraId="1E5AA433" w14:textId="77777777">
        <w:trPr>
          <w:trHeight w:val="288" w:hRule="exact"/>
        </w:trPr>
        <w:tc>
          <w:tcPr>
            <w:tcW w:w="3828" w:type="dxa"/>
          </w:tcPr>
          <w:p w:rsidRPr="003D7404" w:rsidR="00DA3C54" w:rsidP="00FD7C4E" w:rsidRDefault="00DA3C54" w14:paraId="18083F68" w14:textId="77777777">
            <w:pPr>
              <w:rPr>
                <w:rFonts w:asciiTheme="minorHAnsi" w:hAnsiTheme="minorHAnsi" w:cstheme="minorHAnsi"/>
                <w:b/>
                <w:sz w:val="20"/>
                <w:szCs w:val="20"/>
              </w:rPr>
            </w:pPr>
            <w:r>
              <w:rPr>
                <w:rFonts w:asciiTheme="minorHAnsi" w:hAnsiTheme="minorHAnsi" w:cstheme="minorHAnsi"/>
                <w:bCs/>
                <w:sz w:val="20"/>
                <w:szCs w:val="20"/>
              </w:rPr>
              <w:t>RCO</w:t>
            </w:r>
          </w:p>
        </w:tc>
        <w:tc>
          <w:tcPr>
            <w:tcW w:w="6242" w:type="dxa"/>
          </w:tcPr>
          <w:p w:rsidRPr="003D7404" w:rsidR="00DA3C54" w:rsidP="00FD7C4E" w:rsidRDefault="00DA3C54" w14:paraId="0F75340E" w14:textId="77777777">
            <w:pPr>
              <w:rPr>
                <w:rFonts w:asciiTheme="minorHAnsi" w:hAnsiTheme="minorHAnsi" w:cstheme="minorHAnsi"/>
                <w:sz w:val="20"/>
                <w:szCs w:val="20"/>
              </w:rPr>
            </w:pPr>
            <w:r>
              <w:rPr>
                <w:rFonts w:asciiTheme="minorHAnsi" w:hAnsiTheme="minorHAnsi" w:cstheme="minorHAnsi"/>
                <w:sz w:val="20"/>
                <w:szCs w:val="20"/>
              </w:rPr>
              <w:t xml:space="preserve">UN Resident Coordinator’s Office </w:t>
            </w:r>
          </w:p>
        </w:tc>
      </w:tr>
      <w:tr w:rsidRPr="0013674B" w:rsidR="00DA3C54" w:rsidTr="003D7404" w14:paraId="6E637CF4" w14:textId="77777777">
        <w:trPr>
          <w:trHeight w:val="288" w:hRule="exact"/>
        </w:trPr>
        <w:tc>
          <w:tcPr>
            <w:tcW w:w="3828" w:type="dxa"/>
          </w:tcPr>
          <w:p w:rsidRPr="003D7404" w:rsidR="00DA3C54" w:rsidP="00FD7C4E" w:rsidRDefault="00DA3C54" w14:paraId="165A0B53" w14:textId="77777777">
            <w:pPr>
              <w:rPr>
                <w:rFonts w:asciiTheme="minorHAnsi" w:hAnsiTheme="minorHAnsi" w:cstheme="minorHAnsi"/>
                <w:b/>
                <w:sz w:val="20"/>
                <w:szCs w:val="20"/>
              </w:rPr>
            </w:pPr>
            <w:r>
              <w:rPr>
                <w:rFonts w:asciiTheme="minorHAnsi" w:hAnsiTheme="minorHAnsi" w:cstheme="minorHAnsi"/>
                <w:sz w:val="20"/>
                <w:szCs w:val="20"/>
              </w:rPr>
              <w:t xml:space="preserve">RIA </w:t>
            </w:r>
          </w:p>
        </w:tc>
        <w:tc>
          <w:tcPr>
            <w:tcW w:w="6242" w:type="dxa"/>
          </w:tcPr>
          <w:p w:rsidRPr="003D7404" w:rsidR="00DA3C54" w:rsidP="00FD7C4E" w:rsidRDefault="00DA3C54" w14:paraId="17713DFB" w14:textId="77777777">
            <w:pPr>
              <w:rPr>
                <w:rFonts w:asciiTheme="minorHAnsi" w:hAnsiTheme="minorHAnsi" w:cstheme="minorHAnsi"/>
                <w:sz w:val="20"/>
                <w:szCs w:val="20"/>
              </w:rPr>
            </w:pPr>
            <w:r>
              <w:rPr>
                <w:rFonts w:asciiTheme="minorHAnsi" w:hAnsiTheme="minorHAnsi" w:cstheme="minorHAnsi"/>
                <w:sz w:val="20"/>
                <w:szCs w:val="20"/>
              </w:rPr>
              <w:t>Rapid Integration Assessment</w:t>
            </w:r>
          </w:p>
        </w:tc>
      </w:tr>
      <w:tr w:rsidRPr="0013674B" w:rsidR="00DA3C54" w:rsidTr="003D7404" w14:paraId="78992CA3" w14:textId="77777777">
        <w:trPr>
          <w:trHeight w:val="288" w:hRule="exact"/>
        </w:trPr>
        <w:tc>
          <w:tcPr>
            <w:tcW w:w="3828" w:type="dxa"/>
          </w:tcPr>
          <w:p w:rsidRPr="003D7404" w:rsidR="00DA3C54" w:rsidP="00FD7C4E" w:rsidRDefault="00DA3C54" w14:paraId="79BD945F" w14:textId="77777777">
            <w:pPr>
              <w:rPr>
                <w:rFonts w:asciiTheme="minorHAnsi" w:hAnsiTheme="minorHAnsi" w:cstheme="minorHAnsi"/>
                <w:b/>
                <w:sz w:val="20"/>
                <w:szCs w:val="20"/>
              </w:rPr>
            </w:pPr>
            <w:r>
              <w:rPr>
                <w:rFonts w:asciiTheme="minorHAnsi" w:hAnsiTheme="minorHAnsi" w:cstheme="minorHAnsi"/>
                <w:sz w:val="20"/>
                <w:szCs w:val="20"/>
              </w:rPr>
              <w:t xml:space="preserve">RS </w:t>
            </w:r>
          </w:p>
        </w:tc>
        <w:tc>
          <w:tcPr>
            <w:tcW w:w="6242" w:type="dxa"/>
          </w:tcPr>
          <w:p w:rsidRPr="003D7404" w:rsidR="00DA3C54" w:rsidP="00FD7C4E" w:rsidRDefault="00DA3C54" w14:paraId="78F20AE7" w14:textId="77777777">
            <w:pPr>
              <w:rPr>
                <w:rFonts w:asciiTheme="minorHAnsi" w:hAnsiTheme="minorHAnsi" w:cstheme="minorHAnsi"/>
                <w:sz w:val="20"/>
                <w:szCs w:val="20"/>
              </w:rPr>
            </w:pPr>
            <w:proofErr w:type="spellStart"/>
            <w:r>
              <w:rPr>
                <w:rFonts w:asciiTheme="minorHAnsi" w:hAnsiTheme="minorHAnsi" w:cstheme="minorHAnsi"/>
                <w:sz w:val="20"/>
                <w:szCs w:val="20"/>
              </w:rPr>
              <w:t>Republika</w:t>
            </w:r>
            <w:proofErr w:type="spellEnd"/>
            <w:r>
              <w:rPr>
                <w:rFonts w:asciiTheme="minorHAnsi" w:hAnsiTheme="minorHAnsi" w:cstheme="minorHAnsi"/>
                <w:sz w:val="20"/>
                <w:szCs w:val="20"/>
              </w:rPr>
              <w:t xml:space="preserve"> Srpska</w:t>
            </w:r>
          </w:p>
        </w:tc>
      </w:tr>
      <w:tr w:rsidRPr="0013674B" w:rsidR="00DA3C54" w:rsidTr="003D7404" w14:paraId="4D98893F" w14:textId="77777777">
        <w:trPr>
          <w:trHeight w:val="288" w:hRule="exact"/>
        </w:trPr>
        <w:tc>
          <w:tcPr>
            <w:tcW w:w="3828" w:type="dxa"/>
          </w:tcPr>
          <w:p w:rsidRPr="003D7404" w:rsidR="00DA3C54" w:rsidP="00FD7C4E" w:rsidRDefault="00DA3C54" w14:paraId="275258A3" w14:textId="77777777">
            <w:pPr>
              <w:rPr>
                <w:rFonts w:asciiTheme="minorHAnsi" w:hAnsiTheme="minorHAnsi" w:cstheme="minorHAnsi"/>
                <w:b/>
                <w:sz w:val="20"/>
                <w:szCs w:val="20"/>
              </w:rPr>
            </w:pPr>
            <w:r>
              <w:rPr>
                <w:rFonts w:asciiTheme="minorHAnsi" w:hAnsiTheme="minorHAnsi" w:cstheme="minorHAnsi"/>
                <w:sz w:val="20"/>
                <w:szCs w:val="20"/>
              </w:rPr>
              <w:t xml:space="preserve">SDG </w:t>
            </w:r>
          </w:p>
        </w:tc>
        <w:tc>
          <w:tcPr>
            <w:tcW w:w="6242" w:type="dxa"/>
          </w:tcPr>
          <w:p w:rsidRPr="003D7404" w:rsidR="00DA3C54" w:rsidP="00FD7C4E" w:rsidRDefault="00DA3C54" w14:paraId="1D1F1C97" w14:textId="77777777">
            <w:pPr>
              <w:rPr>
                <w:rFonts w:asciiTheme="minorHAnsi" w:hAnsiTheme="minorHAnsi" w:cstheme="minorHAnsi"/>
                <w:sz w:val="20"/>
                <w:szCs w:val="20"/>
              </w:rPr>
            </w:pPr>
            <w:r>
              <w:rPr>
                <w:rFonts w:asciiTheme="minorHAnsi" w:hAnsiTheme="minorHAnsi" w:cstheme="minorHAnsi"/>
                <w:sz w:val="20"/>
                <w:szCs w:val="20"/>
              </w:rPr>
              <w:t>Sustainable Development Goals</w:t>
            </w:r>
          </w:p>
        </w:tc>
      </w:tr>
      <w:tr w:rsidR="00DA3C54" w:rsidTr="003D7404" w14:paraId="48F26D64" w14:textId="77777777">
        <w:trPr>
          <w:trHeight w:val="288"/>
        </w:trPr>
        <w:tc>
          <w:tcPr>
            <w:tcW w:w="3828" w:type="dxa"/>
          </w:tcPr>
          <w:p w:rsidRPr="003D7404" w:rsidR="00DA3C54" w:rsidP="00FD7C4E" w:rsidRDefault="00DA3C54" w14:paraId="6FD61F29" w14:textId="77777777">
            <w:pPr>
              <w:rPr>
                <w:rFonts w:asciiTheme="minorHAnsi" w:hAnsiTheme="minorHAnsi" w:cstheme="minorBidi"/>
                <w:b/>
                <w:bCs/>
                <w:sz w:val="20"/>
                <w:szCs w:val="20"/>
              </w:rPr>
            </w:pPr>
            <w:r>
              <w:rPr>
                <w:rFonts w:asciiTheme="minorHAnsi" w:hAnsiTheme="minorHAnsi" w:cstheme="minorBidi"/>
                <w:bCs/>
                <w:sz w:val="20"/>
                <w:szCs w:val="20"/>
              </w:rPr>
              <w:t>SDG BPA</w:t>
            </w:r>
          </w:p>
        </w:tc>
        <w:tc>
          <w:tcPr>
            <w:tcW w:w="6242" w:type="dxa"/>
          </w:tcPr>
          <w:p w:rsidRPr="003D7404" w:rsidR="00DA3C54" w:rsidP="00FD7C4E" w:rsidRDefault="00DA3C54" w14:paraId="0476499B" w14:textId="77777777">
            <w:pPr>
              <w:rPr>
                <w:rFonts w:asciiTheme="minorHAnsi" w:hAnsiTheme="minorHAnsi" w:cstheme="minorBidi"/>
                <w:sz w:val="20"/>
                <w:szCs w:val="20"/>
              </w:rPr>
            </w:pPr>
            <w:r>
              <w:rPr>
                <w:rFonts w:asciiTheme="minorHAnsi" w:hAnsiTheme="minorHAnsi" w:cstheme="minorBidi"/>
                <w:sz w:val="20"/>
                <w:szCs w:val="20"/>
              </w:rPr>
              <w:t xml:space="preserve">SDG Business Pioneers Award </w:t>
            </w:r>
          </w:p>
        </w:tc>
      </w:tr>
      <w:tr w:rsidR="00DA3C54" w:rsidTr="003D7404" w14:paraId="46CAF2ED" w14:textId="77777777">
        <w:trPr>
          <w:trHeight w:val="288"/>
        </w:trPr>
        <w:tc>
          <w:tcPr>
            <w:tcW w:w="3828" w:type="dxa"/>
          </w:tcPr>
          <w:p w:rsidRPr="003D7404" w:rsidR="00DA3C54" w:rsidP="00FD7C4E" w:rsidRDefault="00DA3C54" w14:paraId="175B6401" w14:textId="77777777">
            <w:pPr>
              <w:rPr>
                <w:rFonts w:asciiTheme="minorHAnsi" w:hAnsiTheme="minorHAnsi" w:cstheme="minorBidi"/>
                <w:b/>
                <w:bCs/>
                <w:sz w:val="20"/>
                <w:szCs w:val="20"/>
              </w:rPr>
            </w:pPr>
            <w:r>
              <w:rPr>
                <w:rFonts w:asciiTheme="minorHAnsi" w:hAnsiTheme="minorHAnsi" w:cstheme="minorBidi"/>
                <w:bCs/>
                <w:sz w:val="20"/>
                <w:szCs w:val="20"/>
              </w:rPr>
              <w:t>SDG FF</w:t>
            </w:r>
          </w:p>
        </w:tc>
        <w:tc>
          <w:tcPr>
            <w:tcW w:w="6242" w:type="dxa"/>
          </w:tcPr>
          <w:p w:rsidRPr="003D7404" w:rsidR="00DA3C54" w:rsidP="00FD7C4E" w:rsidRDefault="00DA3C54" w14:paraId="28184990" w14:textId="77777777">
            <w:pPr>
              <w:rPr>
                <w:rFonts w:asciiTheme="minorHAnsi" w:hAnsiTheme="minorHAnsi" w:cstheme="minorBidi"/>
                <w:sz w:val="20"/>
                <w:szCs w:val="20"/>
              </w:rPr>
            </w:pPr>
            <w:r>
              <w:rPr>
                <w:rFonts w:asciiTheme="minorHAnsi" w:hAnsiTheme="minorHAnsi" w:cstheme="minorBidi"/>
                <w:sz w:val="20"/>
                <w:szCs w:val="20"/>
              </w:rPr>
              <w:t>Sustainable Development Goals Financing Framework</w:t>
            </w:r>
          </w:p>
        </w:tc>
      </w:tr>
      <w:tr w:rsidRPr="0013674B" w:rsidR="00DA3C54" w:rsidTr="003D7404" w14:paraId="795A82E6" w14:textId="77777777">
        <w:trPr>
          <w:trHeight w:val="288" w:hRule="exact"/>
        </w:trPr>
        <w:tc>
          <w:tcPr>
            <w:tcW w:w="3828" w:type="dxa"/>
          </w:tcPr>
          <w:p w:rsidRPr="003D7404" w:rsidR="00DA3C54" w:rsidP="00FD7C4E" w:rsidRDefault="00DA3C54" w14:paraId="72D6513A" w14:textId="77777777">
            <w:pPr>
              <w:rPr>
                <w:rFonts w:asciiTheme="minorHAnsi" w:hAnsiTheme="minorHAnsi" w:cstheme="minorHAnsi"/>
                <w:b/>
                <w:sz w:val="20"/>
                <w:szCs w:val="20"/>
              </w:rPr>
            </w:pPr>
            <w:r>
              <w:rPr>
                <w:rFonts w:asciiTheme="minorHAnsi" w:hAnsiTheme="minorHAnsi" w:cstheme="minorHAnsi"/>
                <w:sz w:val="20"/>
                <w:szCs w:val="20"/>
              </w:rPr>
              <w:t xml:space="preserve">SEE </w:t>
            </w:r>
          </w:p>
        </w:tc>
        <w:tc>
          <w:tcPr>
            <w:tcW w:w="6242" w:type="dxa"/>
          </w:tcPr>
          <w:p w:rsidRPr="003D7404" w:rsidR="00DA3C54" w:rsidP="00FD7C4E" w:rsidRDefault="00DA3C54" w14:paraId="22F703D3" w14:textId="77777777">
            <w:pPr>
              <w:rPr>
                <w:rFonts w:asciiTheme="minorHAnsi" w:hAnsiTheme="minorHAnsi" w:cstheme="minorHAnsi"/>
                <w:sz w:val="20"/>
                <w:szCs w:val="20"/>
              </w:rPr>
            </w:pPr>
            <w:proofErr w:type="gramStart"/>
            <w:r>
              <w:rPr>
                <w:rFonts w:asciiTheme="minorHAnsi" w:hAnsiTheme="minorHAnsi" w:cstheme="minorHAnsi"/>
                <w:sz w:val="20"/>
                <w:szCs w:val="20"/>
              </w:rPr>
              <w:t>South East</w:t>
            </w:r>
            <w:proofErr w:type="gramEnd"/>
            <w:r>
              <w:rPr>
                <w:rFonts w:asciiTheme="minorHAnsi" w:hAnsiTheme="minorHAnsi" w:cstheme="minorHAnsi"/>
                <w:sz w:val="20"/>
                <w:szCs w:val="20"/>
              </w:rPr>
              <w:t xml:space="preserve"> Europe</w:t>
            </w:r>
          </w:p>
        </w:tc>
      </w:tr>
      <w:tr w:rsidR="00DA3C54" w:rsidTr="003D7404" w14:paraId="77D796BC" w14:textId="77777777">
        <w:trPr>
          <w:trHeight w:val="288"/>
        </w:trPr>
        <w:tc>
          <w:tcPr>
            <w:tcW w:w="3828" w:type="dxa"/>
          </w:tcPr>
          <w:p w:rsidRPr="003D7404" w:rsidR="00DA3C54" w:rsidP="00FD7C4E" w:rsidRDefault="00DA3C54" w14:paraId="205CBC2D" w14:textId="77777777">
            <w:pPr>
              <w:rPr>
                <w:rFonts w:asciiTheme="minorHAnsi" w:hAnsiTheme="minorHAnsi" w:cstheme="minorBidi"/>
                <w:b/>
                <w:bCs/>
                <w:sz w:val="20"/>
                <w:szCs w:val="20"/>
              </w:rPr>
            </w:pPr>
            <w:r>
              <w:rPr>
                <w:rFonts w:asciiTheme="minorHAnsi" w:hAnsiTheme="minorHAnsi" w:cstheme="minorBidi"/>
                <w:bCs/>
                <w:sz w:val="20"/>
                <w:szCs w:val="20"/>
              </w:rPr>
              <w:t>SPI</w:t>
            </w:r>
          </w:p>
        </w:tc>
        <w:tc>
          <w:tcPr>
            <w:tcW w:w="6242" w:type="dxa"/>
          </w:tcPr>
          <w:p w:rsidRPr="003D7404" w:rsidR="00DA3C54" w:rsidP="00FD7C4E" w:rsidRDefault="00DA3C54" w14:paraId="20ABBF53" w14:textId="77777777">
            <w:pPr>
              <w:rPr>
                <w:rFonts w:asciiTheme="minorHAnsi" w:hAnsiTheme="minorHAnsi" w:cstheme="minorBidi"/>
                <w:sz w:val="20"/>
                <w:szCs w:val="20"/>
              </w:rPr>
            </w:pPr>
            <w:r>
              <w:rPr>
                <w:rFonts w:asciiTheme="minorHAnsi" w:hAnsiTheme="minorHAnsi" w:cstheme="minorBidi"/>
                <w:sz w:val="20"/>
                <w:szCs w:val="20"/>
              </w:rPr>
              <w:t xml:space="preserve">Social Protection and Inclusion </w:t>
            </w:r>
          </w:p>
        </w:tc>
      </w:tr>
      <w:tr w:rsidRPr="0013674B" w:rsidR="00DA3C54" w:rsidTr="003D7404" w14:paraId="565DE036" w14:textId="77777777">
        <w:trPr>
          <w:trHeight w:val="288" w:hRule="exact"/>
        </w:trPr>
        <w:tc>
          <w:tcPr>
            <w:tcW w:w="3828" w:type="dxa"/>
          </w:tcPr>
          <w:p w:rsidRPr="003D7404" w:rsidR="00DA3C54" w:rsidP="00FD7C4E" w:rsidRDefault="00DA3C54" w14:paraId="24BEA45B" w14:textId="77777777">
            <w:pPr>
              <w:rPr>
                <w:rFonts w:asciiTheme="minorHAnsi" w:hAnsiTheme="minorHAnsi" w:cstheme="minorHAnsi"/>
                <w:b/>
                <w:sz w:val="20"/>
                <w:szCs w:val="20"/>
              </w:rPr>
            </w:pPr>
            <w:proofErr w:type="spellStart"/>
            <w:r>
              <w:rPr>
                <w:rFonts w:asciiTheme="minorHAnsi" w:hAnsiTheme="minorHAnsi" w:cstheme="minorHAnsi"/>
                <w:sz w:val="20"/>
                <w:szCs w:val="20"/>
              </w:rPr>
              <w:t>ToR</w:t>
            </w:r>
            <w:proofErr w:type="spellEnd"/>
            <w:r>
              <w:rPr>
                <w:rFonts w:asciiTheme="minorHAnsi" w:hAnsiTheme="minorHAnsi" w:cstheme="minorHAnsi"/>
                <w:sz w:val="20"/>
                <w:szCs w:val="20"/>
              </w:rPr>
              <w:t xml:space="preserve"> </w:t>
            </w:r>
          </w:p>
        </w:tc>
        <w:tc>
          <w:tcPr>
            <w:tcW w:w="6242" w:type="dxa"/>
          </w:tcPr>
          <w:p w:rsidRPr="003D7404" w:rsidR="00DA3C54" w:rsidP="00FD7C4E" w:rsidRDefault="00DA3C54" w14:paraId="40B40CDA" w14:textId="77777777">
            <w:pPr>
              <w:rPr>
                <w:rFonts w:asciiTheme="minorHAnsi" w:hAnsiTheme="minorHAnsi" w:cstheme="minorHAnsi"/>
                <w:sz w:val="20"/>
                <w:szCs w:val="20"/>
              </w:rPr>
            </w:pPr>
            <w:r>
              <w:rPr>
                <w:rFonts w:asciiTheme="minorHAnsi" w:hAnsiTheme="minorHAnsi" w:cstheme="minorHAnsi"/>
                <w:sz w:val="20"/>
                <w:szCs w:val="20"/>
              </w:rPr>
              <w:t>Terms of Reference</w:t>
            </w:r>
          </w:p>
        </w:tc>
      </w:tr>
      <w:tr w:rsidRPr="0013674B" w:rsidR="00DA3C54" w:rsidTr="003D7404" w14:paraId="1FF5368C" w14:textId="77777777">
        <w:trPr>
          <w:trHeight w:val="288" w:hRule="exact"/>
        </w:trPr>
        <w:tc>
          <w:tcPr>
            <w:tcW w:w="3828" w:type="dxa"/>
          </w:tcPr>
          <w:p w:rsidRPr="003D7404" w:rsidR="00DA3C54" w:rsidP="00FD7C4E" w:rsidRDefault="00DA3C54" w14:paraId="6A6F495D" w14:textId="77777777">
            <w:pPr>
              <w:rPr>
                <w:rFonts w:asciiTheme="minorHAnsi" w:hAnsiTheme="minorHAnsi" w:cstheme="minorHAnsi"/>
                <w:b/>
                <w:sz w:val="20"/>
                <w:szCs w:val="20"/>
              </w:rPr>
            </w:pPr>
            <w:r>
              <w:rPr>
                <w:rFonts w:asciiTheme="minorHAnsi" w:hAnsiTheme="minorHAnsi" w:cstheme="minorHAnsi"/>
                <w:sz w:val="20"/>
                <w:szCs w:val="20"/>
              </w:rPr>
              <w:t xml:space="preserve">UN RC </w:t>
            </w:r>
          </w:p>
        </w:tc>
        <w:tc>
          <w:tcPr>
            <w:tcW w:w="6242" w:type="dxa"/>
          </w:tcPr>
          <w:p w:rsidRPr="003D7404" w:rsidR="00DA3C54" w:rsidP="00FD7C4E" w:rsidRDefault="00DA3C54" w14:paraId="4A5E5525" w14:textId="77777777">
            <w:pPr>
              <w:rPr>
                <w:rFonts w:asciiTheme="minorHAnsi" w:hAnsiTheme="minorHAnsi" w:cstheme="minorHAnsi"/>
                <w:sz w:val="20"/>
                <w:szCs w:val="20"/>
              </w:rPr>
            </w:pPr>
            <w:r>
              <w:rPr>
                <w:rFonts w:asciiTheme="minorHAnsi" w:hAnsiTheme="minorHAnsi" w:cstheme="minorHAnsi"/>
                <w:sz w:val="20"/>
                <w:szCs w:val="20"/>
              </w:rPr>
              <w:t>United Nations Resident Coordinator</w:t>
            </w:r>
          </w:p>
        </w:tc>
      </w:tr>
      <w:tr w:rsidRPr="0013674B" w:rsidR="00DA3C54" w:rsidTr="003D7404" w14:paraId="2D9E106D" w14:textId="77777777">
        <w:trPr>
          <w:trHeight w:val="288" w:hRule="exact"/>
        </w:trPr>
        <w:tc>
          <w:tcPr>
            <w:tcW w:w="3828" w:type="dxa"/>
          </w:tcPr>
          <w:p w:rsidRPr="003D7404" w:rsidR="00DA3C54" w:rsidP="00FD7C4E" w:rsidRDefault="00DA3C54" w14:paraId="1D3A64FD" w14:textId="77777777">
            <w:pPr>
              <w:rPr>
                <w:rFonts w:asciiTheme="minorHAnsi" w:hAnsiTheme="minorHAnsi" w:cstheme="minorHAnsi"/>
                <w:b/>
                <w:sz w:val="20"/>
                <w:szCs w:val="20"/>
              </w:rPr>
            </w:pPr>
            <w:r>
              <w:rPr>
                <w:rFonts w:asciiTheme="minorHAnsi" w:hAnsiTheme="minorHAnsi" w:cstheme="minorHAnsi"/>
                <w:sz w:val="20"/>
                <w:szCs w:val="20"/>
              </w:rPr>
              <w:t xml:space="preserve">UNCT </w:t>
            </w:r>
          </w:p>
        </w:tc>
        <w:tc>
          <w:tcPr>
            <w:tcW w:w="6242" w:type="dxa"/>
          </w:tcPr>
          <w:p w:rsidRPr="003D7404" w:rsidR="00DA3C54" w:rsidP="00FD7C4E" w:rsidRDefault="00DA3C54" w14:paraId="6441065D" w14:textId="77777777">
            <w:pPr>
              <w:rPr>
                <w:rFonts w:asciiTheme="minorHAnsi" w:hAnsiTheme="minorHAnsi" w:cstheme="minorHAnsi"/>
                <w:sz w:val="20"/>
                <w:szCs w:val="20"/>
              </w:rPr>
            </w:pPr>
            <w:r>
              <w:rPr>
                <w:rFonts w:asciiTheme="minorHAnsi" w:hAnsiTheme="minorHAnsi" w:cstheme="minorHAnsi"/>
                <w:sz w:val="20"/>
                <w:szCs w:val="20"/>
              </w:rPr>
              <w:t>United Nations Country Team</w:t>
            </w:r>
          </w:p>
        </w:tc>
      </w:tr>
      <w:tr w:rsidRPr="0013674B" w:rsidR="00DA3C54" w:rsidTr="003D7404" w14:paraId="0043C4D8" w14:textId="77777777">
        <w:trPr>
          <w:trHeight w:val="288" w:hRule="exact"/>
        </w:trPr>
        <w:tc>
          <w:tcPr>
            <w:tcW w:w="3828" w:type="dxa"/>
          </w:tcPr>
          <w:p w:rsidRPr="003D7404" w:rsidR="00DA3C54" w:rsidP="00FD7C4E" w:rsidRDefault="00DA3C54" w14:paraId="23E8FBFE" w14:textId="77777777">
            <w:pPr>
              <w:rPr>
                <w:rFonts w:asciiTheme="minorHAnsi" w:hAnsiTheme="minorHAnsi" w:cstheme="minorHAnsi"/>
                <w:b/>
                <w:sz w:val="20"/>
                <w:szCs w:val="20"/>
              </w:rPr>
            </w:pPr>
            <w:r>
              <w:rPr>
                <w:rFonts w:asciiTheme="minorHAnsi" w:hAnsiTheme="minorHAnsi" w:cstheme="minorHAnsi"/>
                <w:sz w:val="20"/>
                <w:szCs w:val="20"/>
              </w:rPr>
              <w:t>UNFPA</w:t>
            </w:r>
          </w:p>
        </w:tc>
        <w:tc>
          <w:tcPr>
            <w:tcW w:w="6242" w:type="dxa"/>
          </w:tcPr>
          <w:p w:rsidRPr="003D7404" w:rsidR="00DA3C54" w:rsidP="00FD7C4E" w:rsidRDefault="00DA3C54" w14:paraId="3C18034F" w14:textId="77777777">
            <w:pPr>
              <w:rPr>
                <w:rFonts w:asciiTheme="minorHAnsi" w:hAnsiTheme="minorHAnsi" w:cstheme="minorHAnsi"/>
                <w:sz w:val="20"/>
                <w:szCs w:val="20"/>
              </w:rPr>
            </w:pPr>
            <w:r>
              <w:rPr>
                <w:rFonts w:asciiTheme="minorHAnsi" w:hAnsiTheme="minorHAnsi" w:cstheme="minorHAnsi"/>
                <w:sz w:val="20"/>
                <w:szCs w:val="20"/>
              </w:rPr>
              <w:t xml:space="preserve">United Nations Population Fund </w:t>
            </w:r>
          </w:p>
        </w:tc>
      </w:tr>
      <w:tr w:rsidR="00DA3C54" w:rsidTr="003D7404" w14:paraId="4366B862" w14:textId="77777777">
        <w:trPr>
          <w:trHeight w:val="288"/>
        </w:trPr>
        <w:tc>
          <w:tcPr>
            <w:tcW w:w="3828" w:type="dxa"/>
          </w:tcPr>
          <w:p w:rsidRPr="003D7404" w:rsidR="00DA3C54" w:rsidP="00FD7C4E" w:rsidRDefault="00DA3C54" w14:paraId="42E34F76" w14:textId="77777777">
            <w:pPr>
              <w:rPr>
                <w:rFonts w:eastAsia="Calibri"/>
                <w:b/>
                <w:bCs/>
                <w:sz w:val="20"/>
                <w:szCs w:val="20"/>
              </w:rPr>
            </w:pPr>
            <w:r>
              <w:rPr>
                <w:rFonts w:eastAsia="Times New Roman" w:asciiTheme="minorHAnsi" w:hAnsiTheme="minorHAnsi" w:cstheme="minorBidi"/>
                <w:bCs/>
                <w:sz w:val="20"/>
                <w:szCs w:val="20"/>
              </w:rPr>
              <w:t>UNSDCF</w:t>
            </w:r>
          </w:p>
        </w:tc>
        <w:tc>
          <w:tcPr>
            <w:tcW w:w="6242" w:type="dxa"/>
          </w:tcPr>
          <w:p w:rsidRPr="003D7404" w:rsidR="00DA3C54" w:rsidP="00FD7C4E" w:rsidRDefault="00DA3C54" w14:paraId="256C362A" w14:textId="77777777">
            <w:pPr>
              <w:rPr>
                <w:rFonts w:eastAsia="Times New Roman" w:asciiTheme="minorHAnsi" w:hAnsiTheme="minorHAnsi" w:cstheme="minorBidi"/>
                <w:sz w:val="20"/>
                <w:szCs w:val="20"/>
              </w:rPr>
            </w:pPr>
            <w:r>
              <w:rPr>
                <w:rFonts w:eastAsia="Times New Roman" w:asciiTheme="minorHAnsi" w:hAnsiTheme="minorHAnsi" w:cstheme="minorBidi"/>
                <w:sz w:val="20"/>
                <w:szCs w:val="20"/>
              </w:rPr>
              <w:t>United Nations Sustainable Development Cooperation Framework</w:t>
            </w:r>
          </w:p>
        </w:tc>
      </w:tr>
      <w:tr w:rsidRPr="0013674B" w:rsidR="00DA3C54" w:rsidTr="003D7404" w14:paraId="1194C619" w14:textId="77777777">
        <w:trPr>
          <w:trHeight w:val="288" w:hRule="exact"/>
        </w:trPr>
        <w:tc>
          <w:tcPr>
            <w:tcW w:w="3828" w:type="dxa"/>
          </w:tcPr>
          <w:p w:rsidRPr="003D7404" w:rsidR="00DA3C54" w:rsidP="00FD7C4E" w:rsidRDefault="00DA3C54" w14:paraId="56BC5A3F" w14:textId="77777777">
            <w:pPr>
              <w:rPr>
                <w:rFonts w:asciiTheme="minorHAnsi" w:hAnsiTheme="minorHAnsi" w:cstheme="minorHAnsi"/>
                <w:b/>
                <w:sz w:val="20"/>
                <w:szCs w:val="20"/>
              </w:rPr>
            </w:pPr>
            <w:r>
              <w:rPr>
                <w:rFonts w:asciiTheme="minorHAnsi" w:hAnsiTheme="minorHAnsi" w:cstheme="minorHAnsi"/>
                <w:sz w:val="20"/>
                <w:szCs w:val="20"/>
              </w:rPr>
              <w:t xml:space="preserve">UNV </w:t>
            </w:r>
          </w:p>
        </w:tc>
        <w:tc>
          <w:tcPr>
            <w:tcW w:w="6242" w:type="dxa"/>
          </w:tcPr>
          <w:p w:rsidRPr="003D7404" w:rsidR="00DA3C54" w:rsidP="00FD7C4E" w:rsidRDefault="00DA3C54" w14:paraId="12DF0A24" w14:textId="77777777">
            <w:pPr>
              <w:rPr>
                <w:rFonts w:asciiTheme="minorHAnsi" w:hAnsiTheme="minorHAnsi" w:cstheme="minorHAnsi"/>
                <w:sz w:val="20"/>
                <w:szCs w:val="20"/>
              </w:rPr>
            </w:pPr>
            <w:r>
              <w:rPr>
                <w:rFonts w:asciiTheme="minorHAnsi" w:hAnsiTheme="minorHAnsi" w:cstheme="minorHAnsi"/>
                <w:sz w:val="20"/>
                <w:szCs w:val="20"/>
              </w:rPr>
              <w:t>United Nations Volunteers</w:t>
            </w:r>
          </w:p>
        </w:tc>
      </w:tr>
      <w:tr w:rsidRPr="0013674B" w:rsidR="00DA3C54" w:rsidTr="003D7404" w14:paraId="46C60F99" w14:textId="77777777">
        <w:trPr>
          <w:trHeight w:val="288" w:hRule="exact"/>
        </w:trPr>
        <w:tc>
          <w:tcPr>
            <w:tcW w:w="3828" w:type="dxa"/>
          </w:tcPr>
          <w:p w:rsidRPr="003D7404" w:rsidR="00DA3C54" w:rsidP="00FD7C4E" w:rsidRDefault="00DA3C54" w14:paraId="13805758" w14:textId="77777777">
            <w:pPr>
              <w:rPr>
                <w:rFonts w:asciiTheme="minorHAnsi" w:hAnsiTheme="minorHAnsi" w:cstheme="minorHAnsi"/>
                <w:b/>
                <w:sz w:val="20"/>
                <w:szCs w:val="20"/>
              </w:rPr>
            </w:pPr>
            <w:r>
              <w:rPr>
                <w:rFonts w:asciiTheme="minorHAnsi" w:hAnsiTheme="minorHAnsi" w:cstheme="minorHAnsi"/>
                <w:sz w:val="20"/>
                <w:szCs w:val="20"/>
              </w:rPr>
              <w:t>VNR</w:t>
            </w:r>
          </w:p>
        </w:tc>
        <w:tc>
          <w:tcPr>
            <w:tcW w:w="6242" w:type="dxa"/>
          </w:tcPr>
          <w:p w:rsidRPr="003D7404" w:rsidR="00DA3C54" w:rsidP="00FD7C4E" w:rsidRDefault="00DA3C54" w14:paraId="3DA38F87" w14:textId="77777777">
            <w:pPr>
              <w:rPr>
                <w:rFonts w:asciiTheme="minorHAnsi" w:hAnsiTheme="minorHAnsi" w:cstheme="minorHAnsi"/>
                <w:sz w:val="20"/>
                <w:szCs w:val="20"/>
              </w:rPr>
            </w:pPr>
            <w:r>
              <w:rPr>
                <w:rFonts w:asciiTheme="minorHAnsi" w:hAnsiTheme="minorHAnsi" w:cstheme="minorHAnsi"/>
                <w:sz w:val="20"/>
                <w:szCs w:val="20"/>
              </w:rPr>
              <w:t>Voluntary National Review</w:t>
            </w:r>
          </w:p>
        </w:tc>
      </w:tr>
      <w:tr w:rsidRPr="0013674B" w:rsidR="00DA3C54" w:rsidTr="003D7404" w14:paraId="592E37E6" w14:textId="77777777">
        <w:trPr>
          <w:trHeight w:val="288" w:hRule="exact"/>
        </w:trPr>
        <w:tc>
          <w:tcPr>
            <w:tcW w:w="3828" w:type="dxa"/>
          </w:tcPr>
          <w:p w:rsidRPr="003D7404" w:rsidR="00DA3C54" w:rsidP="00FD7C4E" w:rsidRDefault="00DA3C54" w14:paraId="37514D74" w14:textId="77777777">
            <w:pPr>
              <w:rPr>
                <w:rFonts w:asciiTheme="minorHAnsi" w:hAnsiTheme="minorHAnsi" w:cstheme="minorHAnsi"/>
                <w:b/>
                <w:sz w:val="20"/>
                <w:szCs w:val="20"/>
              </w:rPr>
            </w:pPr>
            <w:r>
              <w:rPr>
                <w:rFonts w:asciiTheme="minorHAnsi" w:hAnsiTheme="minorHAnsi" w:cstheme="minorHAnsi"/>
                <w:sz w:val="20"/>
                <w:szCs w:val="20"/>
              </w:rPr>
              <w:t xml:space="preserve">WG </w:t>
            </w:r>
          </w:p>
        </w:tc>
        <w:tc>
          <w:tcPr>
            <w:tcW w:w="6242" w:type="dxa"/>
          </w:tcPr>
          <w:p w:rsidRPr="003D7404" w:rsidR="00DA3C54" w:rsidP="00FD7C4E" w:rsidRDefault="00DA3C54" w14:paraId="4515320F" w14:textId="77777777">
            <w:pPr>
              <w:rPr>
                <w:rFonts w:asciiTheme="minorHAnsi" w:hAnsiTheme="minorHAnsi" w:cstheme="minorHAnsi"/>
                <w:sz w:val="20"/>
                <w:szCs w:val="20"/>
              </w:rPr>
            </w:pPr>
            <w:r>
              <w:rPr>
                <w:rFonts w:asciiTheme="minorHAnsi" w:hAnsiTheme="minorHAnsi" w:cstheme="minorHAnsi"/>
                <w:sz w:val="20"/>
                <w:szCs w:val="20"/>
              </w:rPr>
              <w:t>Working Group</w:t>
            </w:r>
          </w:p>
        </w:tc>
      </w:tr>
    </w:tbl>
    <w:p w:rsidRPr="00231182" w:rsidR="007C7E45" w:rsidP="003E710B" w:rsidRDefault="51F15495" w14:paraId="5D235336" w14:textId="129BBCDF">
      <w:pPr>
        <w:pStyle w:val="Heading1"/>
        <w:pBdr>
          <w:bottom w:val="single" w:color="0468B1" w:sz="6" w:space="1"/>
        </w:pBdr>
        <w:jc w:val="center"/>
        <w:rPr>
          <w:rFonts w:asciiTheme="minorHAnsi" w:hAnsiTheme="minorHAnsi" w:cstheme="minorHAnsi"/>
          <w:b/>
          <w:color w:val="auto"/>
          <w:sz w:val="24"/>
          <w:szCs w:val="24"/>
        </w:rPr>
      </w:pPr>
      <w:bookmarkStart w:name="_Toc221887251" w:id="14"/>
      <w:r>
        <w:rPr>
          <w:rFonts w:asciiTheme="minorHAnsi" w:hAnsiTheme="minorHAnsi" w:cstheme="minorHAnsi"/>
          <w:b/>
          <w:color w:val="0468B1"/>
          <w:szCs w:val="24"/>
        </w:rPr>
        <w:t>Introduction and Project Description</w:t>
      </w:r>
      <w:bookmarkEnd w:id="14"/>
    </w:p>
    <w:p w:rsidRPr="0013674B" w:rsidR="007C7E45" w:rsidP="007C7E45" w:rsidRDefault="007C7E45" w14:paraId="2F3C2499" w14:textId="77777777">
      <w:pPr>
        <w:rPr>
          <w:rFonts w:asciiTheme="minorHAnsi" w:hAnsiTheme="minorHAnsi" w:cstheme="minorHAnsi"/>
        </w:rPr>
      </w:pPr>
    </w:p>
    <w:p w:rsidR="003D7404" w:rsidP="00543847" w:rsidRDefault="003D7404" w14:paraId="67B6DC25" w14:textId="77777777">
      <w:pPr>
        <w:spacing w:before="120"/>
        <w:contextualSpacing/>
        <w:jc w:val="both"/>
        <w:textAlignment w:val="baseline"/>
        <w:rPr>
          <w:rFonts w:asciiTheme="minorHAnsi" w:hAnsiTheme="minorHAnsi" w:cstheme="minorBidi"/>
        </w:rPr>
        <w:sectPr w:rsidR="003D7404" w:rsidSect="000C2DE4">
          <w:footerReference w:type="default" r:id="rId13"/>
          <w:headerReference w:type="first" r:id="rId14"/>
          <w:pgSz w:w="12240" w:h="15840" w:orient="portrait"/>
          <w:pgMar w:top="1440" w:right="1080" w:bottom="1440" w:left="1080" w:header="720" w:footer="720" w:gutter="0"/>
          <w:cols w:space="720"/>
          <w:docGrid w:linePitch="360"/>
        </w:sectPr>
      </w:pPr>
    </w:p>
    <w:p w:rsidRPr="003D7404" w:rsidR="00543847" w:rsidP="003D7404" w:rsidRDefault="007B7DB6" w14:paraId="1AEC2407" w14:textId="7C3335BF">
      <w:pPr>
        <w:spacing w:before="120"/>
        <w:contextualSpacing/>
        <w:jc w:val="both"/>
        <w:textAlignment w:val="baseline"/>
        <w:rPr>
          <w:rFonts w:asciiTheme="minorHAnsi" w:hAnsiTheme="minorHAnsi" w:cstheme="minorBidi"/>
          <w:b/>
          <w:bCs/>
        </w:rPr>
      </w:pPr>
      <w:r>
        <w:rPr>
          <w:rFonts w:asciiTheme="minorHAnsi" w:hAnsiTheme="minorHAnsi" w:cstheme="minorBidi"/>
          <w:b/>
          <w:bCs/>
        </w:rPr>
        <w:t xml:space="preserve">“Translating the Sustainable Development Goals (SDGs) Framework in Bosnia and Herzegovina into sustainable and inclusive growth” (SDG2BiH) Programme is a successor to the SDG Roll-Out and Private Sector Support Project. The SDG2BiH was financed by Sweden and implemented by UNDP in partnership with UNICEF and UN Women under the United Nations’ overall support extended to the authorities in </w:t>
      </w:r>
      <w:bookmarkStart w:name="_Hlk138338914" w:id="15"/>
      <w:r>
        <w:rPr>
          <w:rFonts w:asciiTheme="minorHAnsi" w:hAnsiTheme="minorHAnsi" w:cstheme="minorBidi"/>
          <w:b/>
          <w:bCs/>
        </w:rPr>
        <w:t xml:space="preserve">Bosnia and Herzegovina </w:t>
      </w:r>
      <w:bookmarkEnd w:id="15"/>
      <w:r>
        <w:rPr>
          <w:rFonts w:asciiTheme="minorHAnsi" w:hAnsiTheme="minorHAnsi" w:cstheme="minorBidi"/>
          <w:b/>
          <w:bCs/>
        </w:rPr>
        <w:t>(BiH) to implement the SDG Framework in BiH. IOM joined the efforts in 2025.  </w:t>
      </w:r>
    </w:p>
    <w:p w:rsidRPr="005B6D9D" w:rsidR="00E21AD7" w:rsidP="00E21AD7" w:rsidRDefault="00E21AD7" w14:paraId="702EDEBB" w14:textId="50D526B6">
      <w:pPr>
        <w:spacing w:before="120"/>
        <w:jc w:val="both"/>
        <w:rPr>
          <w:rFonts w:eastAsia="Times New Roman" w:asciiTheme="minorHAnsi" w:hAnsiTheme="minorHAnsi" w:cstheme="minorBidi"/>
        </w:rPr>
      </w:pPr>
      <w:bookmarkStart w:name="_Hlk138250955" w:id="16"/>
      <w:r>
        <w:rPr>
          <w:rFonts w:eastAsia="Times New Roman" w:asciiTheme="minorHAnsi" w:hAnsiTheme="minorHAnsi" w:cstheme="minorBidi"/>
        </w:rPr>
        <w:t>The overall objective of the Programme was to contribute to accelerated achievement of SDGs in BiH by supporting governance systems and private sector engagement towards green and inclusive growth. The Programme aimed to support the authorities in BiH in their efforts to advance their progress towards the achievement of sustainable development targets defined in the SDG Framework in BiH. The Programme was organized around two mutually reinforcing outcomes:</w:t>
      </w:r>
    </w:p>
    <w:p w:rsidRPr="005B6D9D" w:rsidR="00E21AD7" w:rsidP="00FB7921" w:rsidRDefault="00E21AD7" w14:paraId="5123A2FE" w14:textId="77777777">
      <w:pPr>
        <w:spacing w:before="120"/>
        <w:ind w:left="720" w:hanging="720"/>
        <w:jc w:val="both"/>
        <w:rPr>
          <w:rFonts w:eastAsia="Times New Roman" w:asciiTheme="minorHAnsi" w:hAnsiTheme="minorHAnsi" w:cstheme="minorBidi"/>
        </w:rPr>
      </w:pPr>
      <w:r>
        <w:rPr>
          <w:rFonts w:eastAsia="Times New Roman" w:asciiTheme="minorHAnsi" w:hAnsiTheme="minorHAnsi" w:cstheme="minorBidi"/>
        </w:rPr>
        <w:t>•</w:t>
      </w:r>
      <w:r>
        <w:tab/>
      </w:r>
      <w:r>
        <w:rPr>
          <w:rFonts w:eastAsia="Times New Roman" w:asciiTheme="minorHAnsi" w:hAnsiTheme="minorHAnsi" w:cstheme="minorBidi"/>
        </w:rPr>
        <w:t xml:space="preserve">Outcome 1: Authorities at state, </w:t>
      </w:r>
      <w:proofErr w:type="gramStart"/>
      <w:r>
        <w:rPr>
          <w:rFonts w:eastAsia="Times New Roman" w:asciiTheme="minorHAnsi" w:hAnsiTheme="minorHAnsi" w:cstheme="minorBidi"/>
        </w:rPr>
        <w:t>entity</w:t>
      </w:r>
      <w:proofErr w:type="gramEnd"/>
      <w:r>
        <w:rPr>
          <w:rFonts w:eastAsia="Times New Roman" w:asciiTheme="minorHAnsi" w:hAnsiTheme="minorHAnsi" w:cstheme="minorBidi"/>
        </w:rPr>
        <w:t xml:space="preserve"> and Brčko District BiH levels effectively work on planning, implementing, monitoring, and reporting on the SDG Framework in BiH and foster development partnerships. </w:t>
      </w:r>
    </w:p>
    <w:p w:rsidRPr="005B6D9D" w:rsidR="00E21AD7" w:rsidP="00FB7921" w:rsidRDefault="00E21AD7" w14:paraId="5F30DC3D" w14:textId="77777777">
      <w:pPr>
        <w:spacing w:before="120"/>
        <w:ind w:left="720" w:hanging="720"/>
        <w:jc w:val="both"/>
        <w:rPr>
          <w:rFonts w:eastAsia="Times New Roman" w:asciiTheme="minorHAnsi" w:hAnsiTheme="minorHAnsi" w:cstheme="minorBidi"/>
        </w:rPr>
      </w:pPr>
      <w:r>
        <w:rPr>
          <w:rFonts w:eastAsia="Times New Roman" w:asciiTheme="minorHAnsi" w:hAnsiTheme="minorHAnsi" w:cstheme="minorBidi"/>
        </w:rPr>
        <w:t>•</w:t>
      </w:r>
      <w:r>
        <w:tab/>
      </w:r>
      <w:r>
        <w:rPr>
          <w:rFonts w:eastAsia="Times New Roman" w:asciiTheme="minorHAnsi" w:hAnsiTheme="minorHAnsi" w:cstheme="minorBidi"/>
        </w:rPr>
        <w:t>Outcome 2: Cantonal and local governments actively contribute to implementation of the SDG Framework in BiH.</w:t>
      </w:r>
    </w:p>
    <w:bookmarkEnd w:id="16"/>
    <w:p w:rsidRPr="005B6D9D" w:rsidR="009B6031" w:rsidP="009B6031" w:rsidRDefault="00863574" w14:paraId="707DF490" w14:textId="27D73D78">
      <w:pPr>
        <w:spacing w:before="120"/>
        <w:jc w:val="both"/>
        <w:rPr>
          <w:rFonts w:eastAsia="Times New Roman" w:asciiTheme="minorHAnsi" w:hAnsiTheme="minorHAnsi" w:cstheme="minorBidi"/>
        </w:rPr>
      </w:pPr>
      <w:r>
        <w:rPr>
          <w:rFonts w:eastAsia="Times New Roman" w:asciiTheme="minorHAnsi" w:hAnsiTheme="minorHAnsi" w:cstheme="minorBidi"/>
        </w:rPr>
        <w:t xml:space="preserve">This Programme engaged and supported a wide range of stakeholders in BiH, primarily governments and socio-economic stakeholders and strengthened their capacities for systemic implementation of the SDG Framework in BiH, which is a pre-requisite to the attainment of the SDG targets in the country. </w:t>
      </w:r>
    </w:p>
    <w:p w:rsidRPr="005B6D9D" w:rsidR="009B6031" w:rsidP="009B6031" w:rsidRDefault="00897B1C" w14:paraId="2B1C2170" w14:textId="613E649A">
      <w:pPr>
        <w:spacing w:before="120"/>
        <w:jc w:val="both"/>
        <w:rPr>
          <w:rFonts w:eastAsia="Times New Roman" w:asciiTheme="minorHAnsi" w:hAnsiTheme="minorHAnsi" w:cstheme="minorBidi"/>
        </w:rPr>
      </w:pPr>
      <w:r>
        <w:rPr>
          <w:rFonts w:eastAsia="Times New Roman" w:asciiTheme="minorHAnsi" w:hAnsiTheme="minorHAnsi" w:cstheme="minorBidi"/>
        </w:rPr>
        <w:t xml:space="preserve">The Programme aimed to strengthen the ability of governance systems in the country for planning, financing, and implementation towards the SDGs and supported connecting public and private finances with a view of fostering SDG commitments, fostering smart and green growth, while at the same </w:t>
      </w:r>
      <w:r>
        <w:rPr>
          <w:rFonts w:eastAsia="Times New Roman" w:asciiTheme="minorHAnsi" w:hAnsiTheme="minorHAnsi" w:cstheme="minorBidi"/>
        </w:rPr>
        <w:t>time contributing to creating a society of equal opportunities. The stakeholders in the country were supported in kickstarting the transition towards circular and low-carbon economy by providing relevant data and analysis, promotion of circular business models, capacity development and knowledge sharing support.</w:t>
      </w:r>
    </w:p>
    <w:p w:rsidRPr="005B6D9D" w:rsidR="009B6031" w:rsidP="009B6031" w:rsidRDefault="002A76C7" w14:paraId="713B9988" w14:textId="272C6CD6">
      <w:pPr>
        <w:spacing w:before="120"/>
        <w:jc w:val="both"/>
        <w:rPr>
          <w:rFonts w:eastAsia="Times New Roman" w:asciiTheme="minorHAnsi" w:hAnsiTheme="minorHAnsi" w:cstheme="minorBidi"/>
        </w:rPr>
      </w:pPr>
      <w:r>
        <w:rPr>
          <w:rFonts w:eastAsia="Calibri"/>
        </w:rPr>
        <w:t xml:space="preserve">Concrete changes were driven by piloting SDG localization at the cantonal and local levels. This involved raising awareness and building the capacities of local stakeholders, </w:t>
      </w:r>
      <w:proofErr w:type="gramStart"/>
      <w:r>
        <w:rPr>
          <w:rFonts w:eastAsia="Calibri"/>
        </w:rPr>
        <w:t>supporting</w:t>
      </w:r>
      <w:proofErr w:type="gramEnd"/>
      <w:r>
        <w:rPr>
          <w:rFonts w:eastAsia="Calibri"/>
        </w:rPr>
        <w:t xml:space="preserve"> and preparing specific projects that will improve people's lives, and showing how lower levels of government can help achieve the SDGs, with a special focus on ensuring no one is left behind. </w:t>
      </w:r>
      <w:r>
        <w:rPr>
          <w:rFonts w:eastAsia="Times New Roman" w:asciiTheme="minorHAnsi" w:hAnsiTheme="minorHAnsi" w:cstheme="minorBidi"/>
        </w:rPr>
        <w:t xml:space="preserve"> By empowering vulnerable population groups, as drivers of solutions in their communities, the effectiveness and needs-orientation of local governance systems got enhanced, and human capital investments increased. </w:t>
      </w:r>
    </w:p>
    <w:p w:rsidR="007D2098" w:rsidP="7EC14CE8" w:rsidRDefault="006263C1" w14:paraId="76762985" w14:textId="77777777">
      <w:pPr>
        <w:spacing w:before="120"/>
        <w:jc w:val="both"/>
        <w:rPr>
          <w:rFonts w:eastAsia="Times New Roman" w:asciiTheme="minorHAnsi" w:hAnsiTheme="minorHAnsi" w:cstheme="minorBidi"/>
        </w:rPr>
      </w:pPr>
      <w:r>
        <w:rPr>
          <w:rFonts w:eastAsia="Times New Roman" w:asciiTheme="minorHAnsi" w:hAnsiTheme="minorHAnsi" w:cstheme="minorBidi"/>
        </w:rPr>
        <w:t>Building on the previous interventions focused on the private sector and other stakeholders on sustainable development and the SDGs, further engagement and cooperation of the private sector and other stakeholders accelerated domestication of SDG targets and maximized results.</w:t>
      </w:r>
    </w:p>
    <w:p w:rsidRPr="005B6D9D" w:rsidR="009B6031" w:rsidP="7EC14CE8" w:rsidRDefault="006263C1" w14:paraId="167DDA10" w14:textId="2E00F9A6">
      <w:pPr>
        <w:spacing w:before="120"/>
        <w:jc w:val="both"/>
        <w:rPr>
          <w:rFonts w:eastAsia="Times New Roman" w:asciiTheme="minorHAnsi" w:hAnsiTheme="minorHAnsi" w:cstheme="minorBidi"/>
        </w:rPr>
      </w:pPr>
      <w:r>
        <w:rPr>
          <w:rFonts w:eastAsia="Times New Roman" w:asciiTheme="minorHAnsi" w:hAnsiTheme="minorHAnsi" w:cstheme="minorBidi"/>
        </w:rPr>
        <w:t xml:space="preserve"> </w:t>
      </w:r>
    </w:p>
    <w:p w:rsidRPr="005B6D9D" w:rsidR="00543847" w:rsidP="00543847" w:rsidRDefault="00543847" w14:paraId="752361C4" w14:textId="547D101D">
      <w:pPr>
        <w:spacing w:before="120"/>
        <w:contextualSpacing/>
        <w:jc w:val="both"/>
        <w:textAlignment w:val="baseline"/>
        <w:rPr>
          <w:rFonts w:asciiTheme="minorHAnsi" w:hAnsiTheme="minorHAnsi" w:cstheme="minorBidi"/>
        </w:rPr>
      </w:pPr>
      <w:r>
        <w:rPr>
          <w:rFonts w:asciiTheme="minorHAnsi" w:hAnsiTheme="minorHAnsi" w:cstheme="minorBidi"/>
        </w:rPr>
        <w:t xml:space="preserve">The SDG2BiH lasted 46 months, from April 2022 to February 2026. Though the SDG2BiH is managed and implemented by UNDP, specific sub-activities were implemented by UNICEF, UN </w:t>
      </w:r>
      <w:proofErr w:type="gramStart"/>
      <w:r>
        <w:rPr>
          <w:rFonts w:asciiTheme="minorHAnsi" w:hAnsiTheme="minorHAnsi" w:cstheme="minorBidi"/>
        </w:rPr>
        <w:t>Women</w:t>
      </w:r>
      <w:proofErr w:type="gramEnd"/>
      <w:r>
        <w:rPr>
          <w:rFonts w:asciiTheme="minorHAnsi" w:hAnsiTheme="minorHAnsi" w:cstheme="minorBidi"/>
        </w:rPr>
        <w:t xml:space="preserve"> and IOM.</w:t>
      </w:r>
    </w:p>
    <w:p w:rsidR="003D7404" w:rsidP="00A70406" w:rsidRDefault="003D7404" w14:paraId="092C16D6" w14:textId="77777777">
      <w:pPr>
        <w:jc w:val="both"/>
        <w:rPr>
          <w:rFonts w:asciiTheme="minorHAnsi" w:hAnsiTheme="minorHAnsi" w:cstheme="minorHAnsi"/>
        </w:rPr>
      </w:pPr>
    </w:p>
    <w:p w:rsidR="000E14C7" w:rsidP="00A70406" w:rsidRDefault="000E14C7" w14:paraId="6C96EE3E" w14:textId="77777777">
      <w:pPr>
        <w:jc w:val="both"/>
        <w:rPr>
          <w:rFonts w:asciiTheme="minorHAnsi" w:hAnsiTheme="minorHAnsi" w:cstheme="minorHAnsi"/>
        </w:rPr>
      </w:pPr>
    </w:p>
    <w:p w:rsidR="000E14C7" w:rsidP="00A70406" w:rsidRDefault="000E14C7" w14:paraId="02971B5B" w14:textId="77777777">
      <w:pPr>
        <w:jc w:val="both"/>
        <w:rPr>
          <w:rFonts w:asciiTheme="minorHAnsi" w:hAnsiTheme="minorHAnsi" w:cstheme="minorHAnsi"/>
        </w:rPr>
      </w:pPr>
    </w:p>
    <w:p w:rsidR="000E14C7" w:rsidP="00A70406" w:rsidRDefault="000E14C7" w14:paraId="16E1E347" w14:textId="77777777">
      <w:pPr>
        <w:jc w:val="both"/>
        <w:rPr>
          <w:rFonts w:asciiTheme="minorHAnsi" w:hAnsiTheme="minorHAnsi" w:cstheme="minorHAnsi"/>
        </w:rPr>
      </w:pPr>
    </w:p>
    <w:p w:rsidR="000E14C7" w:rsidP="00A70406" w:rsidRDefault="000E14C7" w14:paraId="03AA3084" w14:textId="77777777">
      <w:pPr>
        <w:jc w:val="both"/>
        <w:rPr>
          <w:rFonts w:asciiTheme="minorHAnsi" w:hAnsiTheme="minorHAnsi" w:cstheme="minorHAnsi"/>
        </w:rPr>
      </w:pPr>
    </w:p>
    <w:p w:rsidR="000E14C7" w:rsidP="00A70406" w:rsidRDefault="000E14C7" w14:paraId="1F38A141" w14:textId="77777777">
      <w:pPr>
        <w:jc w:val="both"/>
        <w:rPr>
          <w:rFonts w:asciiTheme="minorHAnsi" w:hAnsiTheme="minorHAnsi" w:cstheme="minorHAnsi"/>
        </w:rPr>
      </w:pPr>
    </w:p>
    <w:p w:rsidR="000E14C7" w:rsidP="00A70406" w:rsidRDefault="000E14C7" w14:paraId="3B645698" w14:textId="77777777">
      <w:pPr>
        <w:jc w:val="both"/>
        <w:rPr>
          <w:rFonts w:asciiTheme="minorHAnsi" w:hAnsiTheme="minorHAnsi" w:cstheme="minorHAnsi"/>
        </w:rPr>
      </w:pPr>
    </w:p>
    <w:p w:rsidR="000E14C7" w:rsidP="00A70406" w:rsidRDefault="000E14C7" w14:paraId="1D9CB19C" w14:textId="77777777">
      <w:pPr>
        <w:jc w:val="both"/>
        <w:rPr>
          <w:rFonts w:asciiTheme="minorHAnsi" w:hAnsiTheme="minorHAnsi" w:cstheme="minorHAnsi"/>
        </w:rPr>
      </w:pPr>
    </w:p>
    <w:p w:rsidR="000E14C7" w:rsidP="00A70406" w:rsidRDefault="000E14C7" w14:paraId="529CE0A9" w14:textId="77777777">
      <w:pPr>
        <w:jc w:val="both"/>
        <w:rPr>
          <w:rFonts w:asciiTheme="minorHAnsi" w:hAnsiTheme="minorHAnsi" w:cstheme="minorHAnsi"/>
        </w:rPr>
      </w:pPr>
    </w:p>
    <w:p w:rsidR="000E14C7" w:rsidP="00A70406" w:rsidRDefault="000E14C7" w14:paraId="7469E338" w14:textId="77777777">
      <w:pPr>
        <w:jc w:val="both"/>
        <w:rPr>
          <w:rFonts w:asciiTheme="minorHAnsi" w:hAnsiTheme="minorHAnsi" w:cstheme="minorHAnsi"/>
        </w:rPr>
      </w:pPr>
    </w:p>
    <w:p w:rsidR="000E14C7" w:rsidP="00A70406" w:rsidRDefault="000E14C7" w14:paraId="0FC4183F" w14:textId="77777777">
      <w:pPr>
        <w:jc w:val="both"/>
        <w:rPr>
          <w:rFonts w:asciiTheme="minorHAnsi" w:hAnsiTheme="minorHAnsi" w:cstheme="minorHAnsi"/>
        </w:rPr>
      </w:pPr>
    </w:p>
    <w:p w:rsidR="000E14C7" w:rsidP="00A70406" w:rsidRDefault="000E14C7" w14:paraId="6D2862D0" w14:textId="77777777">
      <w:pPr>
        <w:jc w:val="both"/>
        <w:rPr>
          <w:rFonts w:asciiTheme="minorHAnsi" w:hAnsiTheme="minorHAnsi" w:cstheme="minorHAnsi"/>
        </w:rPr>
        <w:sectPr w:rsidR="000E14C7" w:rsidSect="003D7404">
          <w:type w:val="continuous"/>
          <w:pgSz w:w="12240" w:h="15840" w:orient="portrait"/>
          <w:pgMar w:top="1440" w:right="1080" w:bottom="1440" w:left="1080" w:header="720" w:footer="720" w:gutter="0"/>
          <w:cols w:space="720" w:num="2"/>
          <w:docGrid w:linePitch="360"/>
        </w:sectPr>
      </w:pPr>
    </w:p>
    <w:p w:rsidRPr="00C309A8" w:rsidR="00782FE4" w:rsidP="00BD6E22" w:rsidRDefault="1F13BC3C" w14:paraId="28765F8D" w14:textId="77777777">
      <w:pPr>
        <w:pStyle w:val="Heading1"/>
        <w:pBdr>
          <w:bottom w:val="single" w:color="0468B1" w:sz="6" w:space="1"/>
        </w:pBdr>
        <w:rPr>
          <w:rFonts w:asciiTheme="minorHAnsi" w:hAnsiTheme="minorHAnsi" w:cstheme="minorHAnsi"/>
          <w:b/>
          <w:color w:val="auto"/>
          <w:sz w:val="24"/>
          <w:szCs w:val="24"/>
        </w:rPr>
      </w:pPr>
      <w:bookmarkStart w:name="_Toc221887252" w:id="17"/>
      <w:r>
        <w:rPr>
          <w:rFonts w:asciiTheme="minorHAnsi" w:hAnsiTheme="minorHAnsi" w:cstheme="minorHAnsi"/>
          <w:b/>
          <w:color w:val="0468B1"/>
          <w:szCs w:val="24"/>
        </w:rPr>
        <w:t>Executive summary</w:t>
      </w:r>
      <w:bookmarkEnd w:id="17"/>
    </w:p>
    <w:p w:rsidRPr="00C309A8" w:rsidR="00921E2D" w:rsidP="00B06C43" w:rsidRDefault="00921E2D" w14:paraId="603C5B38" w14:textId="77777777">
      <w:pPr>
        <w:rPr>
          <w:rFonts w:asciiTheme="minorHAnsi" w:hAnsiTheme="minorHAnsi" w:cstheme="minorHAnsi"/>
          <w:sz w:val="12"/>
          <w:szCs w:val="12"/>
        </w:rPr>
      </w:pPr>
    </w:p>
    <w:p w:rsidR="00E7185C" w:rsidP="00E7185C" w:rsidRDefault="00726010" w14:paraId="302F8C2A" w14:textId="77777777">
      <w:pPr>
        <w:spacing w:before="120"/>
        <w:jc w:val="both"/>
        <w:rPr>
          <w:b/>
        </w:rPr>
      </w:pPr>
      <w:r>
        <w:rPr>
          <w:b/>
        </w:rPr>
        <w:t>Context and Strategic Approach</w:t>
      </w:r>
    </w:p>
    <w:p w:rsidR="00FD7C4E" w:rsidP="00E7185C" w:rsidRDefault="00726010" w14:paraId="0F08B7CD" w14:textId="20654E6A">
      <w:pPr>
        <w:spacing w:before="120"/>
        <w:jc w:val="both"/>
      </w:pPr>
      <w:r>
        <w:t>The “Translating the Sustainable Development Goals (SDGs) Framework in Bosnia and Herzegovina into sustainable and inclusive growth” (SDG2BiH) Programme, extending from April 2022 to February 2026, served as a successor to the SDG Roll-Out and Private Sector Support Project. Financed by Sweden and implemented by UNDP in partnership with UNICEF, UN Women, and joined by IOM in 2025, the Programme was designed to accelerate SDG achievement by reinforcing governance systems and private sector engagement toward green and inclusive growth. The approach was structured around two mutually reinforcing outcomes: strengthening authorities at the state, entity, and Brčko District (BD) levels (Outcome 1) and empowering cantonal and local governments to drive SDG localization (Outcome 2). Central to this mission was the transition toward a circular, low-carbon economy and the steadfast application of the 'Leave No One Behind' (LNOB) principle, ensuring that vulnerable populations remained at the heart of sustainable development initiatives.</w:t>
      </w:r>
    </w:p>
    <w:p w:rsidRPr="00FD7C4E" w:rsidR="00E7185C" w:rsidP="00E7185C" w:rsidRDefault="00726010" w14:paraId="14FD325E" w14:textId="6EE9810D">
      <w:pPr>
        <w:spacing w:before="120"/>
        <w:jc w:val="both"/>
      </w:pPr>
      <w:r>
        <w:rPr>
          <w:b/>
        </w:rPr>
        <w:t>Institutional Governance and Policy Milestones</w:t>
      </w:r>
    </w:p>
    <w:p w:rsidR="00E7185C" w:rsidP="00E7185C" w:rsidRDefault="00726010" w14:paraId="2D484EF3" w14:textId="7242FCB9">
      <w:pPr>
        <w:spacing w:before="120"/>
        <w:jc w:val="both"/>
      </w:pPr>
      <w:r>
        <w:t xml:space="preserve">A defining feature of the Programme was the systemic localization of sustainable development governance. In June 2023, the SDG Council of BiH transitioned from an informal working group to an officially appointed body by the Council of Ministers, institutionalizing policy coherence across government levels. This body successfully coordinated the preparation of the Second Voluntary National Review (VNR), presented at the UN High-Level Political Forum in July 2023. The VNR process became a model for inclusive dialogue, engaging over 1,200 young people and 55 civil society organizations. Beyond reporting, institutional integration reached the legislative level when the BiH Parliamentary Assembly amended its rulebooks in 2024 to formally embed </w:t>
      </w:r>
      <w:proofErr w:type="gramStart"/>
      <w:r>
        <w:t>SDG’s</w:t>
      </w:r>
      <w:proofErr w:type="gramEnd"/>
      <w:r>
        <w:t xml:space="preserve"> into its oversight functions. Furthermore, strategic planning systems were modernized across all levels; in </w:t>
      </w:r>
      <w:proofErr w:type="spellStart"/>
      <w:r>
        <w:t>Republika</w:t>
      </w:r>
      <w:proofErr w:type="spellEnd"/>
      <w:r>
        <w:t xml:space="preserve"> Srpska (RS), the 2030 Sustainable Development Strategy was completed, while the Federation of BiH (FBiH) got an analytical overhaul of its development-planning system. In BD BiH, mid-term and annual working plans were fully aligned with the SDGs, creating a unified, data-driven planning architecture.</w:t>
      </w:r>
    </w:p>
    <w:p w:rsidR="00E7185C" w:rsidP="00E7185C" w:rsidRDefault="00726010" w14:paraId="5CB09BD6" w14:textId="5C7FF27C">
      <w:pPr>
        <w:spacing w:before="120"/>
        <w:jc w:val="both"/>
        <w:rPr>
          <w:b/>
        </w:rPr>
      </w:pPr>
      <w:r>
        <w:rPr>
          <w:b/>
        </w:rPr>
        <w:t>Financing the 2030 Agenda</w:t>
      </w:r>
    </w:p>
    <w:p w:rsidR="00E7185C" w:rsidP="00E7185C" w:rsidRDefault="00726010" w14:paraId="5CBCC9A6" w14:textId="77777777">
      <w:pPr>
        <w:spacing w:before="120"/>
        <w:jc w:val="both"/>
      </w:pPr>
      <w:r>
        <w:t>To bridge the gap between policy and implementation, the Programme spearheaded the development and adoption of the SDG Financing Framework in BiH, formally endorsed by all levels of government in June 2024. This framework operationalized innovative financing instruments, supported by feasibility studies for a Strategic Investment Fund and SDG Bonds. At the entity and cantonal levels, the Programme piloted innovative financial mechanisms focusing on local government digitalization, SME competitiveness for green transition, and joint research and development (R&amp;D) between academia and the private sector. These initiatives established a 'proof of concept' for transparent, targeted support to end-beneficiaries, setting the stage for the future scale-up of e-services and sustainable SME financing.</w:t>
      </w:r>
    </w:p>
    <w:p w:rsidR="00E7185C" w:rsidP="00E7185C" w:rsidRDefault="00726010" w14:paraId="2C2BC0F8" w14:textId="33867609">
      <w:pPr>
        <w:spacing w:before="120"/>
        <w:jc w:val="both"/>
        <w:rPr>
          <w:b/>
        </w:rPr>
      </w:pPr>
      <w:r>
        <w:rPr>
          <w:b/>
        </w:rPr>
        <w:t>Private Sector Engagement and the Green Transition</w:t>
      </w:r>
    </w:p>
    <w:p w:rsidRPr="00DC14B0" w:rsidR="00DC14B0" w:rsidP="00DC14B0" w:rsidRDefault="00726010" w14:paraId="519B0EBD" w14:textId="267AF210">
      <w:pPr>
        <w:jc w:val="both"/>
        <w:rPr>
          <w:rFonts w:eastAsia="Times New Roman" w:asciiTheme="minorHAnsi" w:hAnsiTheme="minorHAnsi" w:cstheme="minorHAnsi"/>
          <w:color w:val="000000"/>
          <w:sz w:val="24"/>
          <w:szCs w:val="24"/>
        </w:rPr>
      </w:pPr>
      <w:r>
        <w:rPr>
          <w:rFonts w:asciiTheme="minorHAnsi" w:hAnsiTheme="minorHAnsi" w:cstheme="minorHAnsi"/>
        </w:rPr>
        <w:t>The private sector’s role in sustainable development was significantly elevated through the SDG Business Pioneers Award (SDG BPA). Participation in the award grew at a compound annual rate of 78%, expanding from 85 companies in 2022 to 484 in 2025. This momentum translated into concrete results, with over 50% of participating companies reporting reductions in plastic use and 42% implementing emission-reduction measures. Complementing the awards, a Circular Accelerator provided technical support and mentoring to SMEs, enabling them to develop bankable 'Circular Economy Transition Plans.' The transition was further supported by the launch of a Green Transition Web Platform and comprehensive mapping of circular opportunities in the construction and packaging industries, providing the data necessary to transition toward resource valorization.</w:t>
      </w:r>
    </w:p>
    <w:p w:rsidR="00DC14B0" w:rsidP="00DC14B0" w:rsidRDefault="00DC14B0" w14:paraId="4864A103" w14:textId="77777777">
      <w:pPr>
        <w:rPr>
          <w:rFonts w:ascii="Aptos" w:hAnsi="Aptos" w:eastAsia="Times New Roman"/>
          <w:color w:val="000000"/>
          <w:sz w:val="24"/>
          <w:szCs w:val="24"/>
        </w:rPr>
      </w:pPr>
    </w:p>
    <w:p w:rsidR="00DC14B0" w:rsidP="00DC14B0" w:rsidRDefault="00DC14B0" w14:paraId="4864A104" w14:textId="4864A104">
      <w:pPr>
        <w:spacing w:line="300" w:lineRule="atLeast"/>
        <w:jc w:val="both"/>
        <w:rPr>
          <w:b/>
        </w:rPr>
      </w:pPr>
      <w:r>
        <w:rPr>
          <w:b/>
        </w:rPr>
        <w:t>Social Inclusion Through Migration and Sustainable Fashion</w:t>
      </w:r>
    </w:p>
    <w:p w:rsidR="00DC14B0" w:rsidP="00DC14B0" w:rsidRDefault="00DC14B0" w14:paraId="4864A105" w14:textId="4864A105">
      <w:pPr>
        <w:spacing w:before="120"/>
        <w:jc w:val="both"/>
        <w:rPr>
          <w:rFonts w:asciiTheme="minorHAnsi" w:hAnsiTheme="minorHAnsi" w:cstheme="minorHAnsi"/>
        </w:rPr>
      </w:pPr>
      <w:r w:rsidRPr="00E604DB">
        <w:rPr>
          <w:rFonts w:asciiTheme="minorHAnsi" w:hAnsiTheme="minorHAnsi" w:cstheme="minorHAnsi"/>
        </w:rPr>
        <w:t xml:space="preserve">IOM joined the Programme in 2025 through the No Nation Fashion (NNF) initiative, which advanced social inclusion and sustainable production by creating structured opportunities for migrants to apply creative and craft skills alongside local </w:t>
      </w:r>
      <w:r w:rsidRPr="00E604DB">
        <w:rPr>
          <w:rFonts w:asciiTheme="minorHAnsi" w:hAnsiTheme="minorHAnsi" w:cstheme="minorHAnsi"/>
        </w:rPr>
        <w:t xml:space="preserve">designers and artisans. Over ten months, NNF organized 132 sessions across three Temporary Reception </w:t>
      </w:r>
      <w:proofErr w:type="spellStart"/>
      <w:r w:rsidRPr="00E604DB">
        <w:rPr>
          <w:rFonts w:asciiTheme="minorHAnsi" w:hAnsiTheme="minorHAnsi" w:cstheme="minorHAnsi"/>
        </w:rPr>
        <w:t>Centres</w:t>
      </w:r>
      <w:proofErr w:type="spellEnd"/>
      <w:r w:rsidRPr="00E604DB">
        <w:rPr>
          <w:rFonts w:asciiTheme="minorHAnsi" w:hAnsiTheme="minorHAnsi" w:cstheme="minorHAnsi"/>
        </w:rPr>
        <w:t>, reaching approximately 200 unique participants. The initiative produced a new capsule collection, expanded into regional fashion events, and launched a dedicated website, reinforcing the connection between migration, circular economy practices, and the 2030 Agenda.</w:t>
      </w:r>
    </w:p>
    <w:p w:rsidR="00E7185C" w:rsidP="00DC14B0" w:rsidRDefault="00726010" w14:paraId="74DE9A5B" w14:textId="5BD2C97E">
      <w:pPr>
        <w:spacing w:line="300" w:lineRule="atLeast"/>
        <w:jc w:val="both"/>
        <w:rPr>
          <w:b/>
        </w:rPr>
      </w:pPr>
      <w:r>
        <w:rPr>
          <w:b/>
        </w:rPr>
        <w:t>Social Inclusion and Care Economy Model</w:t>
      </w:r>
    </w:p>
    <w:p w:rsidR="00E7185C" w:rsidP="00E7185C" w:rsidRDefault="00726010" w14:paraId="3DE7BFEF" w14:textId="77777777">
      <w:pPr>
        <w:spacing w:before="120"/>
        <w:jc w:val="both"/>
      </w:pPr>
      <w:r>
        <w:t>Under the LNOB principle, the Programme pioneered transformative care economy models to address gender-based inequalities and service gaps. The '</w:t>
      </w:r>
      <w:proofErr w:type="spellStart"/>
      <w:r>
        <w:t>Gerontodomaćice</w:t>
      </w:r>
      <w:proofErr w:type="spellEnd"/>
      <w:r>
        <w:t>' model professionalized home-based care for the elderly, resulting in 217 certified caregivers and 49 formal jobs for women in 18 local communities. In Bijeljina, the 'Entrepreneurs in Care' model empowered women to convert informal care work into formal micro-businesses. These efforts were amplified by the '</w:t>
      </w:r>
      <w:proofErr w:type="spellStart"/>
      <w:r>
        <w:t>Nemam</w:t>
      </w:r>
      <w:proofErr w:type="spellEnd"/>
      <w:r>
        <w:t xml:space="preserve"> </w:t>
      </w:r>
      <w:proofErr w:type="spellStart"/>
      <w:r>
        <w:t>ti</w:t>
      </w:r>
      <w:proofErr w:type="spellEnd"/>
      <w:r>
        <w:t xml:space="preserve"> </w:t>
      </w:r>
      <w:proofErr w:type="spellStart"/>
      <w:r>
        <w:t>kad</w:t>
      </w:r>
      <w:proofErr w:type="spellEnd"/>
      <w:r>
        <w:t>' awareness campaign, which reached wide audiences and won a golden award at the No Limit BH Advertising Festival. Concurrently, UNICEF-led efforts established Social Protection and Inclusion (SPI) Commissions in seven local governments, defining multisectoral referral mechanisms to ensure that social services are coordinated, inclusive, and sustainable.</w:t>
      </w:r>
    </w:p>
    <w:p w:rsidR="00E7185C" w:rsidP="00E7185C" w:rsidRDefault="00726010" w14:paraId="2042D686" w14:textId="4B4BD592">
      <w:pPr>
        <w:spacing w:before="120"/>
        <w:jc w:val="both"/>
        <w:rPr>
          <w:b/>
        </w:rPr>
      </w:pPr>
      <w:r>
        <w:rPr>
          <w:b/>
        </w:rPr>
        <w:t>Localization and Sub-national Impact</w:t>
      </w:r>
    </w:p>
    <w:p w:rsidR="00E7185C" w:rsidP="00E7185C" w:rsidRDefault="00726010" w14:paraId="2C488581" w14:textId="77777777">
      <w:pPr>
        <w:spacing w:before="120"/>
        <w:jc w:val="both"/>
      </w:pPr>
      <w:r>
        <w:t xml:space="preserve">The </w:t>
      </w:r>
      <w:proofErr w:type="spellStart"/>
      <w:r>
        <w:t>Programme’s</w:t>
      </w:r>
      <w:proofErr w:type="spellEnd"/>
      <w:r>
        <w:t xml:space="preserve"> localization strategy transformed 8 local governments and 3 cantons into leaders of SDG implementation. Through the SDG2BiH Grant Scheme, 14 projects totaling BAM 2,156,188 were implemented, with an impressive average domestic co-financing rate of 35%. These projects directly benefited 43,772 citizens, introducing 13 new or improved public services, including six inclusive playgrounds and specialized vocational classrooms. Technical documentation for 11 large-scale infrastructure projects was prepared, making them </w:t>
      </w:r>
      <w:proofErr w:type="gramStart"/>
      <w:r>
        <w:t>investment-ready</w:t>
      </w:r>
      <w:proofErr w:type="gramEnd"/>
      <w:r>
        <w:t>. In partner cantons like Tuzla, Una-Sana, and West Herzegovina, regulatory reforms and grant schemes enhanced service delivery in health, education, and economic development, demonstrating that lower levels of government are critical drivers of the 2030 Agenda.</w:t>
      </w:r>
    </w:p>
    <w:p w:rsidR="00E7185C" w:rsidP="00E7185C" w:rsidRDefault="00726010" w14:paraId="67985309" w14:textId="374D2EE9">
      <w:pPr>
        <w:spacing w:before="120"/>
        <w:jc w:val="both"/>
        <w:rPr>
          <w:b/>
        </w:rPr>
      </w:pPr>
      <w:r>
        <w:rPr>
          <w:b/>
        </w:rPr>
        <w:t>Lessons Learned and Operational Reflections</w:t>
      </w:r>
    </w:p>
    <w:p w:rsidR="00E7185C" w:rsidP="00E7185C" w:rsidRDefault="00726010" w14:paraId="45FBDB34" w14:textId="77777777">
      <w:pPr>
        <w:spacing w:before="120"/>
        <w:jc w:val="both"/>
      </w:pPr>
      <w:r>
        <w:t xml:space="preserve">The 46-month implementation period yielded critical insights. First, the participatory approach was essential for ensuring domestic ownership of both the processes and the results. Second, the SDG agenda proved to be largely apolitical, providing a stable platform for development prioritization across diverse governance levels. Third, integrated programming that links public reform with private sector transformation fosters stronger policy coherence. However, coordination challenges among UN agencies highlighted the need for more harmonized monitoring and reporting frameworks. While institutional sustainability is largely secured through the SDG Council, the long-term financial viability of SDG-linked financing tools remains an ongoing challenge that requires continued focus beyond the </w:t>
      </w:r>
      <w:proofErr w:type="spellStart"/>
      <w:r>
        <w:t>Programme’s</w:t>
      </w:r>
      <w:proofErr w:type="spellEnd"/>
      <w:r>
        <w:t xml:space="preserve"> lifecycle.</w:t>
      </w:r>
    </w:p>
    <w:p w:rsidR="00E7185C" w:rsidP="00E7185C" w:rsidRDefault="00726010" w14:paraId="431734CC" w14:textId="77777777">
      <w:pPr>
        <w:spacing w:before="120"/>
        <w:jc w:val="both"/>
        <w:rPr>
          <w:b/>
        </w:rPr>
      </w:pPr>
      <w:r>
        <w:rPr>
          <w:b/>
        </w:rPr>
        <w:t>Financial Overview</w:t>
      </w:r>
    </w:p>
    <w:p w:rsidR="00E7185C" w:rsidP="00E7185C" w:rsidRDefault="00842DC6" w14:paraId="2C05DE68" w14:textId="4F3F0CAB">
      <w:pPr>
        <w:spacing w:before="120"/>
        <w:jc w:val="both"/>
      </w:pPr>
      <w:r>
        <w:t xml:space="preserve">The Programme demonstrated high operational efficiency and financial integrity. Against a total award of USD 5,032,634.05, total expenditures and commitments as of February 2026 reached USD 5,004,683.00, representing near-total utilization of resources. Outcome 1, focusing on state and entity-level governance, accounted for approximately USD 2.68 million, while Outcome 2 localization efforts utilized USD 1.60 million. Project management and operations were maintained at USD 475,878.03, reflecting a lean administrative model that prioritized direct developmental impact. Domestic co-financing from local partners, averaging 35%, further   underscores the high level of local commitment and the sustainability of the </w:t>
      </w:r>
      <w:proofErr w:type="spellStart"/>
      <w:r>
        <w:t>Programme’s</w:t>
      </w:r>
      <w:proofErr w:type="spellEnd"/>
      <w:r>
        <w:t xml:space="preserve"> achievements. </w:t>
      </w:r>
      <w:r w:rsidRPr="00E604DB">
        <w:rPr>
          <w:u w:val="single"/>
        </w:rPr>
        <w:t>These figures are preliminary, pending review and approval by the finance department, and are presented in this report solely to illustrate operational efficiency.</w:t>
      </w:r>
    </w:p>
    <w:p w:rsidR="00A81E4F" w:rsidP="00A81E4F" w:rsidRDefault="00A81E4F" w14:paraId="415C14D0" w14:textId="77777777">
      <w:pPr>
        <w:jc w:val="both"/>
        <w:rPr>
          <w:rFonts w:asciiTheme="minorHAnsi" w:hAnsiTheme="minorHAnsi" w:cstheme="minorBidi"/>
        </w:rPr>
      </w:pPr>
    </w:p>
    <w:p w:rsidR="00A81E4F" w:rsidP="00A81E4F" w:rsidRDefault="00A81E4F" w14:paraId="04974EE0" w14:textId="5DB5ADA3">
      <w:pPr>
        <w:jc w:val="both"/>
        <w:rPr>
          <w:rFonts w:asciiTheme="minorHAnsi" w:hAnsiTheme="minorHAnsi" w:cstheme="minorBidi"/>
        </w:rPr>
      </w:pPr>
    </w:p>
    <w:p w:rsidR="00842DC6" w:rsidP="00A81E4F" w:rsidRDefault="00842DC6" w14:paraId="1DD33FFA" w14:textId="4C4A13AA">
      <w:pPr>
        <w:jc w:val="both"/>
        <w:rPr>
          <w:rFonts w:asciiTheme="minorHAnsi" w:hAnsiTheme="minorHAnsi" w:cstheme="minorBidi"/>
        </w:rPr>
      </w:pPr>
    </w:p>
    <w:p w:rsidR="00842DC6" w:rsidP="00A81E4F" w:rsidRDefault="00842DC6" w14:paraId="50E1434A" w14:textId="77777777">
      <w:pPr>
        <w:jc w:val="both"/>
        <w:rPr>
          <w:rFonts w:asciiTheme="minorHAnsi" w:hAnsiTheme="minorHAnsi" w:cstheme="minorBidi"/>
        </w:rPr>
      </w:pPr>
    </w:p>
    <w:p w:rsidR="00A81E4F" w:rsidP="00A81E4F" w:rsidRDefault="00A81E4F" w14:paraId="3BB99CA6" w14:textId="77777777">
      <w:pPr>
        <w:jc w:val="both"/>
        <w:rPr>
          <w:rFonts w:asciiTheme="minorHAnsi" w:hAnsiTheme="minorHAnsi" w:cstheme="minorBidi"/>
        </w:rPr>
      </w:pPr>
    </w:p>
    <w:p w:rsidR="00A81E4F" w:rsidP="00A81E4F" w:rsidRDefault="00A81E4F" w14:paraId="5ABB6BC3" w14:textId="77777777">
      <w:pPr>
        <w:jc w:val="both"/>
        <w:rPr>
          <w:rFonts w:asciiTheme="minorHAnsi" w:hAnsiTheme="minorHAnsi" w:cstheme="minorBidi"/>
        </w:rPr>
      </w:pPr>
    </w:p>
    <w:p w:rsidRPr="003D7404" w:rsidR="00C53101" w:rsidP="002150D2" w:rsidRDefault="002A1733" w14:paraId="7DC8BC5E" w14:textId="168A9DC7">
      <w:pPr>
        <w:pStyle w:val="Heading1"/>
        <w:pBdr>
          <w:bottom w:val="single" w:color="0468B1" w:sz="6" w:space="1"/>
        </w:pBdr>
        <w:jc w:val="center"/>
        <w:rPr>
          <w:rFonts w:asciiTheme="minorHAnsi" w:hAnsiTheme="minorHAnsi" w:cstheme="minorBidi"/>
          <w:b/>
          <w:color w:val="auto"/>
          <w:sz w:val="24"/>
          <w:szCs w:val="24"/>
        </w:rPr>
      </w:pPr>
      <w:bookmarkStart w:name="_Toc221887253" w:id="18"/>
      <w:r>
        <w:rPr>
          <w:rFonts w:asciiTheme="minorHAnsi" w:hAnsiTheme="minorHAnsi" w:cstheme="minorBidi"/>
          <w:b/>
          <w:color w:val="0468B1"/>
          <w:szCs w:val="24"/>
        </w:rPr>
        <w:t>Overview of the Programme results in the reporting period (April 2022 – February 2026)</w:t>
      </w:r>
      <w:bookmarkEnd w:id="18"/>
    </w:p>
    <w:p w:rsidRPr="003D7404" w:rsidR="134877FF" w:rsidP="134877FF" w:rsidRDefault="134877FF" w14:paraId="18EF6A72" w14:textId="77777777">
      <w:pPr>
        <w:rPr>
          <w:bCs/>
        </w:rPr>
      </w:pPr>
    </w:p>
    <w:p w:rsidRPr="003D7404" w:rsidR="003D7404" w:rsidP="002210DF" w:rsidRDefault="00EB4230" w14:paraId="0AB6C3C8" w14:textId="5469C482">
      <w:pPr>
        <w:pStyle w:val="Heading1"/>
        <w:pBdr>
          <w:bottom w:val="single" w:color="0468B1" w:sz="6" w:space="1"/>
        </w:pBdr>
        <w:jc w:val="both"/>
        <w:rPr>
          <w:rFonts w:asciiTheme="minorHAnsi" w:hAnsiTheme="minorHAnsi" w:cstheme="minorBidi"/>
          <w:b/>
          <w:color w:val="0468B1"/>
          <w:szCs w:val="24"/>
        </w:rPr>
      </w:pPr>
      <w:bookmarkStart w:name="_Toc221887254" w:id="19"/>
      <w:r>
        <w:rPr>
          <w:rFonts w:asciiTheme="minorHAnsi" w:hAnsiTheme="minorHAnsi" w:cstheme="minorBidi"/>
          <w:b/>
          <w:color w:val="0468B1"/>
          <w:szCs w:val="24"/>
        </w:rPr>
        <w:t>Outcome 1</w:t>
      </w:r>
      <w:bookmarkEnd w:id="19"/>
    </w:p>
    <w:p w:rsidR="00E74AFD" w:rsidP="003D7404" w:rsidRDefault="00EB4230" w14:paraId="33D35A7A" w14:textId="5892D0E3">
      <w:pPr>
        <w:rPr>
          <w:b/>
          <w:bCs/>
        </w:rPr>
      </w:pPr>
      <w:r>
        <w:rPr>
          <w:b/>
          <w:bCs/>
        </w:rPr>
        <w:t xml:space="preserve">Authorities at state, </w:t>
      </w:r>
      <w:proofErr w:type="gramStart"/>
      <w:r>
        <w:rPr>
          <w:b/>
          <w:bCs/>
        </w:rPr>
        <w:t>entity</w:t>
      </w:r>
      <w:proofErr w:type="gramEnd"/>
      <w:r>
        <w:rPr>
          <w:b/>
          <w:bCs/>
        </w:rPr>
        <w:t xml:space="preserve"> and Brčko District BiH levels effectively work on planning, implementing, monitoring, and reporting on the SDG Framework in BiH and foster development partnerships.</w:t>
      </w:r>
    </w:p>
    <w:p w:rsidRPr="003D7404" w:rsidR="003E710B" w:rsidP="003D7404" w:rsidRDefault="003E710B" w14:paraId="0FEB2C5F" w14:textId="77777777">
      <w:pPr>
        <w:rPr>
          <w:b/>
          <w:bCs/>
          <w:sz w:val="24"/>
        </w:rPr>
      </w:pPr>
    </w:p>
    <w:p w:rsidRPr="003D7404" w:rsidR="00E35660" w:rsidP="003D7404" w:rsidRDefault="000502D2" w14:paraId="7256B725" w14:textId="78A49B7F">
      <w:pPr>
        <w:spacing w:before="120"/>
        <w:jc w:val="both"/>
        <w:rPr>
          <w:bCs/>
        </w:rPr>
      </w:pPr>
      <w:r>
        <w:rPr>
          <w:bCs/>
        </w:rPr>
        <w:t xml:space="preserve">The work under this outcome aimed to ensure that Bosnia and Herzegovina’s public institutions are equipped with the knowledge, tools, and structures necessary for coordinated implementation of the SDG Framework in BiH. Activities combined capacity development, institutional strengthening, data governance, and strategic partnerships to embed sustainable development into the policy ecosystem at all levels of government. </w:t>
      </w:r>
    </w:p>
    <w:p w:rsidRPr="003D7404" w:rsidR="003D7404" w:rsidP="00206600" w:rsidRDefault="51EA6A60" w14:paraId="188E7954" w14:textId="77777777">
      <w:pPr>
        <w:pStyle w:val="Heading2"/>
        <w:pBdr>
          <w:bottom w:val="single" w:color="0468B1" w:sz="6" w:space="1"/>
        </w:pBdr>
        <w:spacing w:before="240"/>
        <w:jc w:val="both"/>
        <w:rPr>
          <w:rFonts w:asciiTheme="minorHAnsi" w:hAnsiTheme="minorHAnsi" w:cstheme="minorBidi"/>
          <w:b/>
          <w:i/>
          <w:iCs/>
          <w:color w:val="0468B1"/>
          <w:sz w:val="28"/>
          <w:szCs w:val="22"/>
        </w:rPr>
      </w:pPr>
      <w:bookmarkStart w:name="_Toc221887255" w:id="20"/>
      <w:r>
        <w:rPr>
          <w:rFonts w:asciiTheme="minorHAnsi" w:hAnsiTheme="minorHAnsi" w:cstheme="minorBidi"/>
          <w:b/>
          <w:i/>
          <w:iCs/>
          <w:color w:val="0468B1"/>
          <w:sz w:val="28"/>
          <w:szCs w:val="22"/>
        </w:rPr>
        <w:t>Output 1.1.</w:t>
      </w:r>
      <w:bookmarkEnd w:id="20"/>
      <w:r>
        <w:rPr>
          <w:rFonts w:asciiTheme="minorHAnsi" w:hAnsiTheme="minorHAnsi" w:cstheme="minorBidi"/>
          <w:b/>
          <w:i/>
          <w:iCs/>
          <w:color w:val="0468B1"/>
          <w:sz w:val="28"/>
          <w:szCs w:val="22"/>
        </w:rPr>
        <w:t xml:space="preserve"> </w:t>
      </w:r>
    </w:p>
    <w:p w:rsidRPr="003D7404" w:rsidR="008F723C" w:rsidP="003D7404" w:rsidRDefault="51EA6A60" w14:paraId="03BCFC3C" w14:textId="3C488395">
      <w:pPr>
        <w:rPr>
          <w:b/>
          <w:bCs/>
        </w:rPr>
      </w:pPr>
      <w:r>
        <w:rPr>
          <w:b/>
          <w:bCs/>
        </w:rPr>
        <w:t>The SDG steering body and institutional partners at state, entity and Brčko District levels are equipped with knowledge, capacities and tools for synchronized and effective planning, financing, monitoring, and reporting on the implementation of the SDG Framework in BiH</w:t>
      </w:r>
      <w:r w:rsidR="00F5292C">
        <w:rPr>
          <w:b/>
          <w:bCs/>
        </w:rPr>
        <w:t>–</w:t>
      </w:r>
    </w:p>
    <w:p w:rsidRPr="003D7404" w:rsidR="0003601F" w:rsidP="0003601F" w:rsidRDefault="0003601F" w14:paraId="04252B98" w14:textId="77777777">
      <w:pPr>
        <w:rPr>
          <w:bCs/>
        </w:rPr>
      </w:pPr>
    </w:p>
    <w:p w:rsidRPr="003E710B" w:rsidR="00D02D08" w:rsidP="005D3DDF" w:rsidRDefault="51EA6A60" w14:paraId="210616A0" w14:textId="77777777">
      <w:pPr>
        <w:pStyle w:val="Heading3"/>
        <w:pBdr>
          <w:bottom w:val="single" w:color="0468B1" w:sz="4" w:space="1"/>
        </w:pBdr>
        <w:spacing w:before="240"/>
        <w:rPr>
          <w:rFonts w:cstheme="majorHAnsi"/>
          <w:b/>
          <w:color w:val="auto"/>
        </w:rPr>
      </w:pPr>
      <w:bookmarkStart w:name="_Toc221887256" w:id="21"/>
      <w:r>
        <w:rPr>
          <w:rFonts w:cstheme="majorHAnsi"/>
          <w:b/>
          <w:color w:val="0468B1"/>
          <w:sz w:val="26"/>
        </w:rPr>
        <w:t>1.1.1. Support to effective functioning of the SDG Council in BiH</w:t>
      </w:r>
      <w:bookmarkEnd w:id="21"/>
      <w:r>
        <w:rPr>
          <w:rFonts w:cstheme="majorHAnsi"/>
          <w:b/>
          <w:color w:val="0468B1"/>
          <w:sz w:val="26"/>
        </w:rPr>
        <w:t xml:space="preserve"> </w:t>
      </w:r>
    </w:p>
    <w:tbl>
      <w:tblPr>
        <w:tblW w:w="10990" w:type="dxa"/>
        <w:jc w:val="center"/>
        <w:tblLayout w:type="fixed"/>
        <w:tblLook w:val="04A0" w:firstRow="1" w:lastRow="0" w:firstColumn="1" w:lastColumn="0" w:noHBand="0" w:noVBand="1"/>
      </w:tblPr>
      <w:tblGrid>
        <w:gridCol w:w="2198"/>
        <w:gridCol w:w="2198"/>
        <w:gridCol w:w="2198"/>
        <w:gridCol w:w="2198"/>
        <w:gridCol w:w="2198"/>
      </w:tblGrid>
      <w:tr w:rsidR="00A11601" w:rsidTr="008C1413" w14:paraId="5864E998" w14:textId="59329244">
        <w:trPr>
          <w:jc w:val="center"/>
        </w:trPr>
        <w:tc>
          <w:tcPr>
            <w:tcW w:w="2198" w:type="dxa"/>
            <w:shd w:val="clear" w:color="auto" w:fill="00689D"/>
          </w:tcPr>
          <w:p w:rsidR="00A11601" w:rsidRDefault="00CC23C9" w14:paraId="10A2776D" w14:textId="77777777">
            <w:pPr>
              <w:jc w:val="center"/>
            </w:pPr>
            <w:r>
              <w:rPr>
                <w:b/>
                <w:color w:val="FFFFFF"/>
                <w:sz w:val="14"/>
              </w:rPr>
              <w:t>STATUS</w:t>
            </w:r>
          </w:p>
        </w:tc>
        <w:tc>
          <w:tcPr>
            <w:tcW w:w="2198" w:type="dxa"/>
            <w:shd w:val="clear" w:color="auto" w:fill="F99D26"/>
          </w:tcPr>
          <w:p w:rsidR="00A11601" w:rsidRDefault="00CC23C9" w14:paraId="43CC44AC" w14:textId="77777777">
            <w:pPr>
              <w:jc w:val="center"/>
            </w:pPr>
            <w:r>
              <w:rPr>
                <w:b/>
                <w:color w:val="FFFFFF"/>
                <w:sz w:val="14"/>
              </w:rPr>
              <w:t>VNR</w:t>
            </w:r>
          </w:p>
        </w:tc>
        <w:tc>
          <w:tcPr>
            <w:tcW w:w="2198" w:type="dxa"/>
            <w:shd w:val="clear" w:color="auto" w:fill="FF3A21"/>
          </w:tcPr>
          <w:p w:rsidR="00A11601" w:rsidRDefault="00CC23C9" w14:paraId="0E735D8B" w14:textId="53281CBA">
            <w:pPr>
              <w:jc w:val="center"/>
            </w:pPr>
            <w:r>
              <w:rPr>
                <w:b/>
                <w:color w:val="FFFFFF"/>
                <w:sz w:val="14"/>
              </w:rPr>
              <w:t>YOUTH ENGAGED</w:t>
            </w:r>
          </w:p>
        </w:tc>
        <w:tc>
          <w:tcPr>
            <w:tcW w:w="2198" w:type="dxa"/>
            <w:shd w:val="clear" w:color="auto" w:fill="268D49"/>
          </w:tcPr>
          <w:p w:rsidR="00A11601" w:rsidRDefault="00CC23C9" w14:paraId="7AD855EA" w14:textId="26AD3110">
            <w:pPr>
              <w:jc w:val="center"/>
            </w:pPr>
            <w:r>
              <w:rPr>
                <w:b/>
                <w:color w:val="FFFFFF"/>
                <w:sz w:val="14"/>
              </w:rPr>
              <w:t>CSOs CONSULTED</w:t>
            </w:r>
          </w:p>
        </w:tc>
        <w:tc>
          <w:tcPr>
            <w:tcW w:w="2198" w:type="dxa"/>
            <w:shd w:val="clear" w:color="auto" w:fill="44546A" w:themeFill="text2"/>
          </w:tcPr>
          <w:p w:rsidR="00751DE1" w:rsidRDefault="00751DE1" w14:paraId="6FF781A6" w14:textId="124FC1A0">
            <w:pPr>
              <w:jc w:val="center"/>
              <w:rPr>
                <w:b/>
                <w:color w:val="FFFFFF"/>
                <w:sz w:val="14"/>
              </w:rPr>
            </w:pPr>
            <w:r>
              <w:rPr>
                <w:b/>
                <w:color w:val="FFFFFF"/>
                <w:sz w:val="14"/>
              </w:rPr>
              <w:t>SDG CNCL ROOM EQUIPPED</w:t>
            </w:r>
          </w:p>
        </w:tc>
      </w:tr>
      <w:tr w:rsidR="00A11601" w:rsidTr="00F82FC8" w14:paraId="2576AAA1" w14:textId="70C52F8E">
        <w:trPr>
          <w:jc w:val="center"/>
        </w:trPr>
        <w:tc>
          <w:tcPr>
            <w:tcW w:w="2198" w:type="dxa"/>
            <w:shd w:val="clear" w:color="auto" w:fill="F9F9F9"/>
          </w:tcPr>
          <w:p w:rsidR="00A11601" w:rsidRDefault="00CC23C9" w14:paraId="3262422A" w14:textId="77777777">
            <w:pPr>
              <w:jc w:val="center"/>
            </w:pPr>
            <w:r>
              <w:rPr>
                <w:b/>
                <w:sz w:val="24"/>
              </w:rPr>
              <w:t>APPOINTED</w:t>
            </w:r>
          </w:p>
        </w:tc>
        <w:tc>
          <w:tcPr>
            <w:tcW w:w="2198" w:type="dxa"/>
            <w:shd w:val="clear" w:color="auto" w:fill="F9F9F9"/>
          </w:tcPr>
          <w:p w:rsidR="00A11601" w:rsidRDefault="00CC23C9" w14:paraId="7E9105D8" w14:textId="77777777">
            <w:pPr>
              <w:jc w:val="center"/>
            </w:pPr>
            <w:r>
              <w:rPr>
                <w:b/>
                <w:sz w:val="24"/>
              </w:rPr>
              <w:t>2nd PRESENTED</w:t>
            </w:r>
          </w:p>
        </w:tc>
        <w:tc>
          <w:tcPr>
            <w:tcW w:w="2198" w:type="dxa"/>
            <w:shd w:val="clear" w:color="auto" w:fill="F9F9F9"/>
          </w:tcPr>
          <w:p w:rsidR="00A11601" w:rsidRDefault="00CC23C9" w14:paraId="1C9A1F57" w14:textId="77777777">
            <w:pPr>
              <w:jc w:val="center"/>
            </w:pPr>
            <w:r>
              <w:rPr>
                <w:b/>
                <w:sz w:val="24"/>
              </w:rPr>
              <w:t>1,200+</w:t>
            </w:r>
          </w:p>
        </w:tc>
        <w:tc>
          <w:tcPr>
            <w:tcW w:w="2198" w:type="dxa"/>
            <w:shd w:val="clear" w:color="auto" w:fill="F9F9F9"/>
          </w:tcPr>
          <w:p w:rsidR="00A11601" w:rsidRDefault="00CC23C9" w14:paraId="5FB1076C" w14:textId="77777777">
            <w:pPr>
              <w:jc w:val="center"/>
            </w:pPr>
            <w:r>
              <w:rPr>
                <w:b/>
                <w:sz w:val="24"/>
              </w:rPr>
              <w:t>55</w:t>
            </w:r>
          </w:p>
        </w:tc>
        <w:tc>
          <w:tcPr>
            <w:tcW w:w="2198" w:type="dxa"/>
            <w:shd w:val="clear" w:color="auto" w:fill="F9F9F9"/>
          </w:tcPr>
          <w:p w:rsidR="00751DE1" w:rsidRDefault="00F82FC8" w14:paraId="6D6D606F" w14:textId="4BBD8F65">
            <w:pPr>
              <w:jc w:val="center"/>
              <w:rPr>
                <w:b/>
                <w:sz w:val="24"/>
              </w:rPr>
            </w:pPr>
            <w:r>
              <w:rPr>
                <w:b/>
                <w:sz w:val="24"/>
              </w:rPr>
              <w:t>OFFICE</w:t>
            </w:r>
          </w:p>
        </w:tc>
      </w:tr>
    </w:tbl>
    <w:p w:rsidRPr="003D7404" w:rsidR="002A2E5D" w:rsidP="00206600" w:rsidRDefault="55C09576" w14:paraId="019EB8A4" w14:textId="77777777">
      <w:pPr>
        <w:spacing w:before="120"/>
        <w:jc w:val="both"/>
        <w:rPr>
          <w:rFonts w:eastAsia="Times New Roman" w:asciiTheme="minorHAnsi" w:hAnsiTheme="minorHAnsi" w:cstheme="minorBidi"/>
          <w:bCs/>
          <w:spacing w:val="-2"/>
        </w:rPr>
      </w:pPr>
      <w:r>
        <w:rPr>
          <w:rFonts w:eastAsia="Times New Roman" w:asciiTheme="minorHAnsi" w:hAnsiTheme="minorHAnsi" w:cstheme="minorBidi"/>
          <w:bCs/>
          <w:spacing w:val="-2"/>
        </w:rPr>
        <w:t>The Programme inherited the task from the SDG Roll-Out Project to support the effective functioning of the SDG Council in BiH and coordination on key activities.</w:t>
      </w:r>
    </w:p>
    <w:p w:rsidRPr="003D7404" w:rsidR="00A30C3B" w:rsidP="008503D3" w:rsidRDefault="008503D3" w14:paraId="411E2E1D" w14:textId="4371E3C0">
      <w:pPr>
        <w:spacing w:before="120"/>
        <w:jc w:val="both"/>
        <w:rPr>
          <w:bCs/>
        </w:rPr>
      </w:pPr>
      <w:r>
        <w:rPr>
          <w:bCs/>
        </w:rPr>
        <w:t>Previously an informal working group, the SDG Council of Bosnia and Herzegovina was formally appointed by the Council of Ministers in June 2023, representing a milestone in institutionalizing sustainable development governance. The Council’s mandate was operationalized to oversee monitoring of SDG Framework in BiH implementation, coordinate policy coherence across levels of government, support stakeholders from different sectors in SDG implementation, and prepare reports on SDG achievement. Throughout its duration, the Programme provided technical support to the Council, prepared background materials for its sessions, and provided analytical, logistical, and communication support.</w:t>
      </w:r>
    </w:p>
    <w:p w:rsidR="000E14C7" w:rsidP="008503D3" w:rsidRDefault="00B52608" w14:paraId="79435229" w14:textId="4F1AF524">
      <w:pPr>
        <w:spacing w:before="120"/>
        <w:jc w:val="both"/>
        <w:rPr>
          <w:bCs/>
        </w:rPr>
      </w:pPr>
      <w:r>
        <w:rPr>
          <w:bCs/>
        </w:rPr>
        <w:t>Preparation and presentation of the Second Voluntary National Review (VNR) - the country’s most important instrument for reporting on progress toward the SDGs – represents one of the most significant achievements of the entire Programme cycle. The process of drafting the VNR was designed as an inclusive national dialogue, reflecting BiH’s commitment to transparency, participation, and evidence-based policymaking. The Programme coordinated extensive consultations that brought together representatives from state, entity, and BD BiH institutions, statistical agencies, civil society organizations, academia, and the private sector. More than 1,200 young people contributed through UNICEF’s U-Report platform, while 55 civil-society organizations participated in a series of regional workshops across five cities. This participatory process not only enriched the content of the VNR but also strengthened national ownership of the SDG agenda. The Second VNR, adopted by all levels of government, was presented at the United Nations High-Level Political Forum (HLPF) in July 2023. The VNR served as both a national milestone - demonstrating that BiH institutions can jointly produce a unified development report despite administrative complexity, and a diplomatic milestone - positioning the country as an active, credible partner in global sustainable-development dialogue. The presentation, led by the Deputy Minister of Foreign Affairs, H. E. Josip Brkić, received strong recognition from Member States and international partners for its openness, inclusiveness, and focus on systemic financing solutions.</w:t>
      </w:r>
    </w:p>
    <w:p w:rsidRPr="003D7404" w:rsidR="008C73AC" w:rsidP="008503D3" w:rsidRDefault="009A44A5" w14:paraId="3A23745B" w14:textId="42645461">
      <w:pPr>
        <w:spacing w:before="120"/>
        <w:jc w:val="both"/>
        <w:rPr>
          <w:bCs/>
        </w:rPr>
      </w:pPr>
      <w:r>
        <w:rPr>
          <w:bCs/>
        </w:rPr>
        <w:t>To complement the presentation, the Programme supported the organization of a dedicated side event at the HLPF 2023, co-hosted by the Permanent Mission of BiH to the UN, UNDP, Sweden (</w:t>
      </w:r>
      <w:proofErr w:type="spellStart"/>
      <w:r>
        <w:rPr>
          <w:bCs/>
        </w:rPr>
        <w:t>Sida</w:t>
      </w:r>
      <w:proofErr w:type="spellEnd"/>
      <w:r>
        <w:rPr>
          <w:bCs/>
        </w:rPr>
        <w:t xml:space="preserve">), Serbia, and Indonesia. The event focused on </w:t>
      </w:r>
      <w:r>
        <w:rPr>
          <w:bCs/>
        </w:rPr>
        <w:t>innovative SDG financing frameworks, showcasing BiH’s experience in developing the SDG Financing Framework and exploring regional approaches to mobilizing private and public resources for sustainable development.</w:t>
      </w:r>
    </w:p>
    <w:p w:rsidR="00665E49" w:rsidP="008503D3" w:rsidRDefault="00665E49" w14:paraId="7D338BD7" w14:textId="77777777">
      <w:pPr>
        <w:spacing w:before="120"/>
        <w:jc w:val="both"/>
        <w:rPr>
          <w:bCs/>
        </w:rPr>
      </w:pPr>
      <w:r>
        <w:rPr>
          <w:bCs/>
        </w:rPr>
        <w:t xml:space="preserve">Following the VNR, the Programme worked with the SDG Council to sustain momentum and institutionalize regular reporting. In 2023, it supported the drafting of the first </w:t>
      </w:r>
      <w:r>
        <w:rPr>
          <w:rStyle w:val="Strong"/>
          <w:b w:val="0"/>
        </w:rPr>
        <w:t>Annual Report on the Implementation of the SDG Framework in BiH</w:t>
      </w:r>
      <w:r>
        <w:rPr>
          <w:bCs/>
        </w:rPr>
        <w:t xml:space="preserve">, the first document of its kind to systematically track annual performance across SDG indicators. Then, to improve data quality and consistency, close cooperation was maintained with the SDG Council in revising the SDG indicator list. The updated list, formally adopted by the BiH </w:t>
      </w:r>
      <w:proofErr w:type="spellStart"/>
      <w:r>
        <w:rPr>
          <w:bCs/>
        </w:rPr>
        <w:t>CoM</w:t>
      </w:r>
      <w:proofErr w:type="spellEnd"/>
      <w:r>
        <w:rPr>
          <w:bCs/>
        </w:rPr>
        <w:t xml:space="preserve"> in 2024, introduced stronger alignment with the local priorities and was based on a review of the availability of data. This process laid the foundation for the second Annual Report on the Implementation of the SDG Framework in BiH (adopted by the BiH </w:t>
      </w:r>
      <w:proofErr w:type="spellStart"/>
      <w:r>
        <w:rPr>
          <w:bCs/>
        </w:rPr>
        <w:t>CoM</w:t>
      </w:r>
      <w:proofErr w:type="spellEnd"/>
      <w:r>
        <w:rPr>
          <w:bCs/>
        </w:rPr>
        <w:t xml:space="preserve"> in 2025).</w:t>
      </w:r>
    </w:p>
    <w:p w:rsidRPr="00AD7010" w:rsidR="00AD7010" w:rsidP="00AD7010" w:rsidRDefault="00AD7010" w14:paraId="7E1DF723" w14:textId="2D4131FD">
      <w:pPr>
        <w:spacing w:before="120"/>
        <w:jc w:val="both"/>
        <w:rPr>
          <w:bCs/>
        </w:rPr>
      </w:pPr>
      <w:r>
        <w:rPr>
          <w:bCs/>
        </w:rPr>
        <w:t>Also, during the process, the Programme supported the equipping of the meeting room for the in-person sessions and online meetings of the SDG Council, located on the premises of the DEP, the body tasked with providing technical support to the SDG Council.</w:t>
      </w:r>
    </w:p>
    <w:p w:rsidRPr="003D7404" w:rsidR="00665E49" w:rsidP="008503D3" w:rsidRDefault="00FC294D" w14:paraId="3D88AD91" w14:textId="77CDA8C2">
      <w:pPr>
        <w:spacing w:before="120"/>
        <w:jc w:val="both"/>
        <w:rPr>
          <w:bCs/>
        </w:rPr>
      </w:pPr>
      <w:r>
        <w:rPr>
          <w:bCs/>
        </w:rPr>
        <w:t>The Programme supported SDG Council’s active participation in regional meetings and the strengthening of partnerships with local, regional, and global development stakeholders. To that end, the Programme supported the participation of SDG Council’s members in 16 conferences.</w:t>
      </w:r>
    </w:p>
    <w:p w:rsidR="00665E49" w:rsidP="003D7404" w:rsidRDefault="005D6B89" w14:paraId="64B3E6FC" w14:textId="2A8763EC">
      <w:pPr>
        <w:spacing w:before="120"/>
        <w:jc w:val="both"/>
        <w:rPr>
          <w:bCs/>
        </w:rPr>
      </w:pPr>
      <w:r>
        <w:rPr>
          <w:bCs/>
        </w:rPr>
        <w:t>Through these initiatives, the SDG Council has evolved into an authoritative country-wide coordination mechanism for sustainable development. Its role has expanded beyond monitoring to include policy dialogue, alignment of planning processes, and guidance on financing strategies for the SDGs. Both domestic and international partners increasingly recognize the Council as a central stakeholder in BiH’s sustainable development architecture. Its contributions have been formally acknowledged in the United Nations Sustainable Development Cooperation Framework (UNSDCF), which identifies the SDG Council as a key counterpart for ensuring policy coherence and inter-institutional coordination under the governance and sustainable growth outcomes. This recognition reflects the Council’s growing authority as a platform that bridges government levels, connects with the private sector and civil society, and steers the country’s collective progress toward Agenda 2030.</w:t>
      </w:r>
    </w:p>
    <w:tbl>
      <w:tblPr>
        <w:tblpPr w:leftFromText="180" w:rightFromText="180" w:vertAnchor="text" w:horzAnchor="margin" w:tblpY="64"/>
        <w:tblW w:w="0" w:type="auto"/>
        <w:tblLook w:val="04A0" w:firstRow="1" w:lastRow="0" w:firstColumn="1" w:lastColumn="0" w:noHBand="0" w:noVBand="1"/>
      </w:tblPr>
      <w:tblGrid>
        <w:gridCol w:w="3360"/>
        <w:gridCol w:w="3360"/>
        <w:gridCol w:w="3360"/>
      </w:tblGrid>
      <w:tr w:rsidR="00AE3F43" w:rsidTr="00AE3F43" w14:paraId="42518FAD" w14:textId="77777777">
        <w:tc>
          <w:tcPr>
            <w:tcW w:w="3360" w:type="dxa"/>
            <w:shd w:val="clear" w:color="auto" w:fill="F99D26"/>
          </w:tcPr>
          <w:p w:rsidR="00AE3F43" w:rsidP="00AE3F43" w:rsidRDefault="00AE3F43" w14:paraId="220C0793" w14:textId="77777777">
            <w:pPr>
              <w:jc w:val="center"/>
            </w:pPr>
            <w:r>
              <w:rPr>
                <w:b/>
                <w:color w:val="FFFFFF"/>
                <w:sz w:val="14"/>
              </w:rPr>
              <w:t>VNR DIALOGUE</w:t>
            </w:r>
          </w:p>
        </w:tc>
        <w:tc>
          <w:tcPr>
            <w:tcW w:w="3360" w:type="dxa"/>
            <w:shd w:val="clear" w:color="auto" w:fill="00689D"/>
          </w:tcPr>
          <w:p w:rsidR="00AE3F43" w:rsidP="00AE3F43" w:rsidRDefault="00AE3F43" w14:paraId="428B4727" w14:textId="77777777">
            <w:pPr>
              <w:jc w:val="center"/>
            </w:pPr>
            <w:r>
              <w:rPr>
                <w:b/>
                <w:color w:val="FFFFFF"/>
                <w:sz w:val="14"/>
              </w:rPr>
              <w:t>INDICATORS</w:t>
            </w:r>
          </w:p>
        </w:tc>
        <w:tc>
          <w:tcPr>
            <w:tcW w:w="3360" w:type="dxa"/>
            <w:shd w:val="clear" w:color="auto" w:fill="278D49"/>
          </w:tcPr>
          <w:p w:rsidR="00AE3F43" w:rsidP="00AE3F43" w:rsidRDefault="00AE3F43" w14:paraId="74357835" w14:textId="77777777">
            <w:pPr>
              <w:jc w:val="center"/>
            </w:pPr>
            <w:r>
              <w:rPr>
                <w:b/>
                <w:color w:val="FFFFFF"/>
                <w:sz w:val="14"/>
              </w:rPr>
              <w:t>CONFERENCES</w:t>
            </w:r>
          </w:p>
        </w:tc>
      </w:tr>
      <w:tr w:rsidR="00AE3F43" w:rsidTr="00AE3F43" w14:paraId="21120E40" w14:textId="77777777">
        <w:tc>
          <w:tcPr>
            <w:tcW w:w="3360" w:type="dxa"/>
            <w:shd w:val="clear" w:color="auto" w:fill="F9F9F9"/>
          </w:tcPr>
          <w:p w:rsidR="00AE3F43" w:rsidP="00AE3F43" w:rsidRDefault="00AE3F43" w14:paraId="4E01B497" w14:textId="77777777">
            <w:pPr>
              <w:jc w:val="center"/>
            </w:pPr>
            <w:r>
              <w:rPr>
                <w:b/>
                <w:sz w:val="24"/>
              </w:rPr>
              <w:t>1,200+ YOUTH</w:t>
            </w:r>
          </w:p>
        </w:tc>
        <w:tc>
          <w:tcPr>
            <w:tcW w:w="3360" w:type="dxa"/>
            <w:shd w:val="clear" w:color="auto" w:fill="F9F9F9"/>
          </w:tcPr>
          <w:p w:rsidR="00AE3F43" w:rsidP="00AE3F43" w:rsidRDefault="00AE3F43" w14:paraId="3279EF68" w14:textId="77777777">
            <w:pPr>
              <w:jc w:val="center"/>
            </w:pPr>
            <w:r>
              <w:rPr>
                <w:b/>
                <w:sz w:val="24"/>
              </w:rPr>
              <w:t>74</w:t>
            </w:r>
          </w:p>
        </w:tc>
        <w:tc>
          <w:tcPr>
            <w:tcW w:w="3360" w:type="dxa"/>
            <w:shd w:val="clear" w:color="auto" w:fill="F9F9F9"/>
          </w:tcPr>
          <w:p w:rsidR="00AE3F43" w:rsidP="00AE3F43" w:rsidRDefault="00AE3F43" w14:paraId="0AE22780" w14:textId="77777777">
            <w:pPr>
              <w:jc w:val="center"/>
            </w:pPr>
            <w:r>
              <w:rPr>
                <w:b/>
                <w:sz w:val="24"/>
              </w:rPr>
              <w:t>16</w:t>
            </w:r>
          </w:p>
        </w:tc>
      </w:tr>
    </w:tbl>
    <w:p w:rsidR="003D7404" w:rsidP="003D7404" w:rsidRDefault="003D7404" w14:paraId="240408B3" w14:textId="77777777">
      <w:pPr>
        <w:spacing w:before="120"/>
        <w:jc w:val="both"/>
        <w:rPr>
          <w:bCs/>
        </w:rPr>
      </w:pPr>
    </w:p>
    <w:p w:rsidRPr="003E710B" w:rsidR="00877639" w:rsidP="3AD90258" w:rsidRDefault="51EA6A60" w14:paraId="64B137AC" w14:textId="77777777">
      <w:pPr>
        <w:pStyle w:val="Heading3"/>
        <w:pBdr>
          <w:bottom w:val="single" w:color="0468B1" w:sz="4" w:space="1"/>
        </w:pBdr>
        <w:spacing w:before="240"/>
        <w:rPr>
          <w:rFonts w:cstheme="majorHAnsi"/>
          <w:b/>
          <w:color w:val="auto"/>
        </w:rPr>
      </w:pPr>
      <w:bookmarkStart w:name="_Toc221887257" w:id="22"/>
      <w:r>
        <w:rPr>
          <w:rFonts w:cstheme="majorHAnsi"/>
          <w:b/>
          <w:color w:val="0468B1"/>
          <w:sz w:val="26"/>
        </w:rPr>
        <w:t>1.1.2. Strengthening governments’ planning systems for effective implementation of the SDGs, monitoring and reporting</w:t>
      </w:r>
      <w:bookmarkEnd w:id="22"/>
    </w:p>
    <w:p w:rsidRPr="003D7404" w:rsidR="00DF5733" w:rsidP="0012287B" w:rsidRDefault="00DF5733" w14:paraId="7DB1B16C" w14:textId="77777777">
      <w:pPr>
        <w:ind w:firstLine="720"/>
        <w:jc w:val="both"/>
        <w:rPr>
          <w:bCs/>
        </w:rPr>
      </w:pPr>
    </w:p>
    <w:p w:rsidRPr="003D7404" w:rsidR="00DF5733" w:rsidP="003D7404" w:rsidRDefault="00DF5733" w14:paraId="24F08AAD" w14:textId="77777777">
      <w:pPr>
        <w:spacing w:before="120"/>
        <w:jc w:val="both"/>
        <w:rPr>
          <w:bCs/>
        </w:rPr>
      </w:pPr>
      <w:r>
        <w:rPr>
          <w:bCs/>
        </w:rPr>
        <w:t>National commitments to sustainable development were translated into concrete planning and monitoring practices across all levels of government. The SDG Framework in BiH became an operational tool embedded in policy formulation, budget planning, and performance reporting.</w:t>
      </w:r>
    </w:p>
    <w:p w:rsidRPr="003D7404" w:rsidR="0012287B" w:rsidP="003D7404" w:rsidRDefault="00E61E44" w14:paraId="3B04CDDD" w14:textId="77777777">
      <w:pPr>
        <w:spacing w:before="120"/>
        <w:jc w:val="both"/>
        <w:rPr>
          <w:bCs/>
        </w:rPr>
      </w:pPr>
      <w:r>
        <w:rPr>
          <w:bCs/>
        </w:rPr>
        <w:t>The Federal Institute for Development Programming (FZZPR) conducted an analytical review of the development-planning and management system in the FBiH, identifying institutional gaps and recommending adjustments to improve coordination between local, cantonal, and entity planning. These results were based on consultations with all three administrative levels in FBiH, across three workshops separately for local governments, cantons, and FBiH level. Furthermore, the Programme provided support in printing and dissemination of the FBiH Development Strategy 2021 – 2027. Complementary to this activity, the document of analysis of application of the FBiH regulatory framework for development programming was developed, and the proposal of adjustments to the relevant bylaws, while additional support to FZZPR included analyzing current and proposing a more effective and efficient functional alignment, ensuring a concerted effort towards the achievement, monitoring, and reporting Development Strategy and SDGs.</w:t>
      </w:r>
    </w:p>
    <w:p w:rsidRPr="003D7404" w:rsidR="0012287B" w:rsidP="003D7404" w:rsidRDefault="0012287B" w14:paraId="425A67E8" w14:textId="77777777">
      <w:pPr>
        <w:spacing w:before="120"/>
        <w:jc w:val="both"/>
        <w:rPr>
          <w:rFonts w:eastAsia="Calibri"/>
          <w:bCs/>
          <w:color w:val="000000" w:themeColor="text1"/>
        </w:rPr>
      </w:pPr>
      <w:r>
        <w:rPr>
          <w:bCs/>
        </w:rPr>
        <w:t xml:space="preserve">At the RS level, the Programme provided technical assistance to the Ministry of Economic Relations and Regional Cooperation for the preparation of the RS 2030 Sustainable Development Strategy, a key policy document aligning entity priorities with the SDGs. Methodological guidance, sectoral consultations, and indicator mapping ensured that the strategy’s objectives were measurable and compatible with the national SDG Framework in BiH. Furthermore, expert consultants supported drafting of the RS Sustainable Development Strategy 2030, which has been completed, but has not </w:t>
      </w:r>
      <w:r>
        <w:rPr>
          <w:bCs/>
        </w:rPr>
        <w:t xml:space="preserve">been adopted yet. </w:t>
      </w:r>
      <w:r>
        <w:rPr>
          <w:rFonts w:eastAsia="Calibri"/>
          <w:bCs/>
          <w:color w:val="000000" w:themeColor="text1"/>
        </w:rPr>
        <w:t>The Executive Team formed by the RS Government led its development, supported by a team of expert consultants hired by SDG2BIH. These consultants aided the Executive Team in creating methodological guidance and an action plan for the Strategy's preparation activities. Additionally, at the direct request of RS Government partners, the Programme provided further support by engaging sectoral consultants specializing in good governance, smart economy, and sustainable development.</w:t>
      </w:r>
    </w:p>
    <w:p w:rsidRPr="003D7404" w:rsidR="0012287B" w:rsidP="003D7404" w:rsidRDefault="0065196E" w14:paraId="21511A35" w14:textId="77777777">
      <w:pPr>
        <w:spacing w:before="120"/>
        <w:jc w:val="both"/>
        <w:rPr>
          <w:bCs/>
        </w:rPr>
      </w:pPr>
      <w:r>
        <w:rPr>
          <w:bCs/>
        </w:rPr>
        <w:t xml:space="preserve">To promote continuous coordination and peer learning, the Programme supported the organization of RS </w:t>
      </w:r>
      <w:r>
        <w:rPr>
          <w:rStyle w:val="Strong"/>
          <w:b w:val="0"/>
        </w:rPr>
        <w:t xml:space="preserve">Strategic Practitioners Network (SPN) meetings. Through these meetings, the RS General Secretariat introduced new methodologies developed with Programme assistance to over 60 practitioners, including templates for SDG-aligned monitoring and guidance on integrating the Leave No One Behind (LNOB) principle into planning documents. Furthermore, practitioners exchanged experiences and discussed approaches for integrating the SDG Framework in BiH into development strategies and budget processes. The Programme contributed technical expertise, facilitated discussions on indicator harmonization, introduced SDGs more closely, and provided logistical support for the meetings. </w:t>
      </w:r>
    </w:p>
    <w:p w:rsidRPr="003D7404" w:rsidR="0012287B" w:rsidP="003D7404" w:rsidRDefault="0012287B" w14:paraId="3F671E73" w14:textId="77777777">
      <w:pPr>
        <w:spacing w:before="120"/>
        <w:jc w:val="both"/>
        <w:rPr>
          <w:bCs/>
        </w:rPr>
      </w:pPr>
      <w:r>
        <w:rPr>
          <w:bCs/>
        </w:rPr>
        <w:t>In BD BiH, local development strategy was aligned with the SDGs and performance indicators were integrated into planning documents. Tailored workshops and technical sessions helped build capacities for evidence-based management and reporting. The Programme also provided support for the Unit for Strategic Planning in of the General Secretariat of BD BiH in implementation of a new regulatory framework for 27 strategic planning units. The activity resulted in the preparation of mid-term working plans 2024 – 2026 and annual working plans for 2024, which are adopted and published on their web sites. In addition, the Programme supported preparation of the 2022 strategy annual report and three-year Action Plan. All prepared documents are aligned with the SDGs Framework in BiH. In July 2023, the Assembly of the BD BiH adopted a Law on the Adjustments and Additions of the BD BiH Law on Budget. After the amendments to the BD BiH Law on Budget came into force, SDG2BiH supported the General Secretariat of the Government of BD BiH in preparation of amendments on rules of content and methodology of creation, monitoring, and implementation supervision system of strategic and implementation documents. After the prescribed procedure for the bylaw's preparation, the Government of BD BiH adopted it in December 2023.</w:t>
      </w:r>
    </w:p>
    <w:p w:rsidRPr="003D7404" w:rsidR="0012287B" w:rsidP="003D7404" w:rsidRDefault="0012287B" w14:paraId="7207E848" w14:textId="77777777">
      <w:pPr>
        <w:spacing w:before="120"/>
        <w:jc w:val="both"/>
        <w:rPr>
          <w:bCs/>
        </w:rPr>
      </w:pPr>
      <w:r>
        <w:rPr>
          <w:bCs/>
        </w:rPr>
        <w:t>These efforts created a more coherent, data-driven planning system in which policy objectives and budget allocations are increasingly aligned with the SDGs.</w:t>
      </w:r>
    </w:p>
    <w:tbl>
      <w:tblPr>
        <w:tblpPr w:leftFromText="180" w:rightFromText="180" w:vertAnchor="text" w:horzAnchor="margin" w:tblpY="72"/>
        <w:tblW w:w="0" w:type="auto"/>
        <w:tblLook w:val="04A0" w:firstRow="1" w:lastRow="0" w:firstColumn="1" w:lastColumn="0" w:noHBand="0" w:noVBand="1"/>
      </w:tblPr>
      <w:tblGrid>
        <w:gridCol w:w="3360"/>
        <w:gridCol w:w="3360"/>
        <w:gridCol w:w="3360"/>
      </w:tblGrid>
      <w:tr w:rsidR="00AE3F43" w:rsidTr="00AE3F43" w14:paraId="5F6D21ED" w14:textId="77777777">
        <w:tc>
          <w:tcPr>
            <w:tcW w:w="3360" w:type="dxa"/>
            <w:shd w:val="clear" w:color="auto" w:fill="00689D"/>
          </w:tcPr>
          <w:p w:rsidR="00AE3F43" w:rsidP="00AE3F43" w:rsidRDefault="00AE3F43" w14:paraId="28E92669" w14:textId="77777777">
            <w:pPr>
              <w:jc w:val="center"/>
            </w:pPr>
            <w:r>
              <w:rPr>
                <w:b/>
                <w:color w:val="FFFFFF"/>
                <w:sz w:val="14"/>
              </w:rPr>
              <w:t>EXPERTS</w:t>
            </w:r>
          </w:p>
        </w:tc>
        <w:tc>
          <w:tcPr>
            <w:tcW w:w="3360" w:type="dxa"/>
            <w:shd w:val="clear" w:color="auto" w:fill="F99D26"/>
          </w:tcPr>
          <w:p w:rsidR="00AE3F43" w:rsidP="00AE3F43" w:rsidRDefault="00AE3F43" w14:paraId="137354C7" w14:textId="77777777">
            <w:pPr>
              <w:jc w:val="center"/>
            </w:pPr>
            <w:r>
              <w:rPr>
                <w:b/>
                <w:color w:val="FFFFFF"/>
                <w:sz w:val="14"/>
              </w:rPr>
              <w:t>UNITS</w:t>
            </w:r>
          </w:p>
        </w:tc>
        <w:tc>
          <w:tcPr>
            <w:tcW w:w="3360" w:type="dxa"/>
            <w:shd w:val="clear" w:color="auto" w:fill="268D49"/>
          </w:tcPr>
          <w:p w:rsidR="00AE3F43" w:rsidP="00AE3F43" w:rsidRDefault="00AE3F43" w14:paraId="4A880679" w14:textId="77777777">
            <w:pPr>
              <w:jc w:val="center"/>
            </w:pPr>
            <w:r>
              <w:rPr>
                <w:b/>
                <w:color w:val="FFFFFF"/>
                <w:sz w:val="14"/>
              </w:rPr>
              <w:t>STRATEGIES</w:t>
            </w:r>
          </w:p>
        </w:tc>
      </w:tr>
      <w:tr w:rsidR="00AE3F43" w:rsidTr="00AE3F43" w14:paraId="7BCC2C7F" w14:textId="77777777">
        <w:tc>
          <w:tcPr>
            <w:tcW w:w="3360" w:type="dxa"/>
            <w:shd w:val="clear" w:color="auto" w:fill="F9F9F9"/>
          </w:tcPr>
          <w:p w:rsidR="00AE3F43" w:rsidP="00AE3F43" w:rsidRDefault="00AE3F43" w14:paraId="78BB765B" w14:textId="77777777">
            <w:pPr>
              <w:jc w:val="center"/>
            </w:pPr>
            <w:r>
              <w:rPr>
                <w:b/>
                <w:sz w:val="24"/>
              </w:rPr>
              <w:t>60+</w:t>
            </w:r>
          </w:p>
        </w:tc>
        <w:tc>
          <w:tcPr>
            <w:tcW w:w="3360" w:type="dxa"/>
            <w:shd w:val="clear" w:color="auto" w:fill="F9F9F9"/>
          </w:tcPr>
          <w:p w:rsidR="00AE3F43" w:rsidP="00AE3F43" w:rsidRDefault="00AE3F43" w14:paraId="4AB88B87" w14:textId="77777777">
            <w:pPr>
              <w:jc w:val="center"/>
            </w:pPr>
            <w:r>
              <w:rPr>
                <w:b/>
                <w:sz w:val="24"/>
              </w:rPr>
              <w:t>27 BD</w:t>
            </w:r>
          </w:p>
        </w:tc>
        <w:tc>
          <w:tcPr>
            <w:tcW w:w="3360" w:type="dxa"/>
            <w:shd w:val="clear" w:color="auto" w:fill="F9F9F9"/>
          </w:tcPr>
          <w:p w:rsidR="00AE3F43" w:rsidP="00AE3F43" w:rsidRDefault="00AE3F43" w14:paraId="24CD874C" w14:textId="77777777">
            <w:pPr>
              <w:jc w:val="center"/>
            </w:pPr>
            <w:r>
              <w:rPr>
                <w:b/>
                <w:sz w:val="24"/>
              </w:rPr>
              <w:t>100% ALIGNED</w:t>
            </w:r>
          </w:p>
        </w:tc>
      </w:tr>
    </w:tbl>
    <w:p w:rsidRPr="003E710B" w:rsidR="00D02D08" w:rsidP="000D63A5" w:rsidRDefault="51EA6A60" w14:paraId="70C80A23" w14:textId="0AA9F3B8">
      <w:pPr>
        <w:pStyle w:val="Heading3"/>
        <w:pBdr>
          <w:bottom w:val="single" w:color="0468B1" w:sz="4" w:space="1"/>
        </w:pBdr>
        <w:spacing w:before="240"/>
        <w:rPr>
          <w:rFonts w:cstheme="majorHAnsi"/>
          <w:b/>
          <w:color w:val="auto"/>
        </w:rPr>
      </w:pPr>
      <w:bookmarkStart w:name="_Toc221887258" w:id="23"/>
      <w:r>
        <w:rPr>
          <w:rFonts w:cstheme="majorHAnsi"/>
          <w:b/>
          <w:color w:val="0468B1"/>
          <w:sz w:val="26"/>
        </w:rPr>
        <w:t>1.1.3. Supporting governments in translating selected development accelerators into action</w:t>
      </w:r>
      <w:bookmarkEnd w:id="23"/>
      <w:r>
        <w:rPr>
          <w:rFonts w:cstheme="majorHAnsi"/>
          <w:b/>
          <w:color w:val="0468B1"/>
          <w:sz w:val="26"/>
        </w:rPr>
        <w:t xml:space="preserve"> </w:t>
      </w:r>
    </w:p>
    <w:p w:rsidR="003D7404" w:rsidP="295F3196" w:rsidRDefault="003D7404" w14:paraId="46022B6C" w14:textId="77777777">
      <w:pPr>
        <w:spacing w:before="120"/>
        <w:jc w:val="both"/>
        <w:rPr>
          <w:rFonts w:eastAsia="Times New Roman" w:asciiTheme="minorHAnsi" w:hAnsiTheme="minorHAnsi" w:cstheme="minorBidi"/>
          <w:b/>
          <w:color w:val="2F5496" w:themeColor="accent1" w:themeShade="BF"/>
        </w:rPr>
      </w:pPr>
    </w:p>
    <w:p w:rsidRPr="003D7404" w:rsidR="0023501C" w:rsidP="295F3196" w:rsidRDefault="02FABD79" w14:paraId="4539C15F" w14:textId="44171EB7">
      <w:pPr>
        <w:spacing w:before="120"/>
        <w:jc w:val="both"/>
        <w:rPr>
          <w:rFonts w:eastAsia="Times New Roman" w:asciiTheme="minorHAnsi" w:hAnsiTheme="minorHAnsi" w:cstheme="minorBidi"/>
          <w:b/>
          <w:color w:val="2F5496" w:themeColor="accent1" w:themeShade="BF"/>
        </w:rPr>
      </w:pPr>
      <w:r>
        <w:rPr>
          <w:rFonts w:eastAsia="Times New Roman" w:asciiTheme="minorHAnsi" w:hAnsiTheme="minorHAnsi" w:cstheme="minorBidi"/>
          <w:b/>
          <w:color w:val="2F5496" w:themeColor="accent1" w:themeShade="BF"/>
        </w:rPr>
        <w:t>Social Protection Strategy development (UNICEF)</w:t>
      </w:r>
    </w:p>
    <w:p w:rsidRPr="003D7404" w:rsidR="0023501C" w:rsidP="2C6E8441" w:rsidRDefault="00A97CC7" w14:paraId="53BC3FA3" w14:textId="77777777">
      <w:pPr>
        <w:spacing w:before="120"/>
        <w:jc w:val="both"/>
        <w:rPr>
          <w:rFonts w:asciiTheme="minorHAnsi" w:hAnsiTheme="minorHAnsi" w:cstheme="minorBidi"/>
          <w:bCs/>
        </w:rPr>
      </w:pPr>
      <w:r>
        <w:rPr>
          <w:rFonts w:eastAsia="Times New Roman" w:asciiTheme="minorHAnsi" w:hAnsiTheme="minorHAnsi" w:cstheme="minorBidi"/>
          <w:bCs/>
        </w:rPr>
        <w:t xml:space="preserve">During the Programme implementation, </w:t>
      </w:r>
      <w:r>
        <w:rPr>
          <w:rFonts w:asciiTheme="minorHAnsi" w:hAnsiTheme="minorHAnsi" w:cstheme="minorBidi"/>
          <w:bCs/>
        </w:rPr>
        <w:t xml:space="preserve">both entity-level Social and Child Protection Strategies were passed for adoption. RS Strategy (2023 – 2029) was adopted in December 2023, and FBiH Social and Child Protection Strategy (2023 – 2030) has been reviewed and validated by all 10 Cantons, currently pending the FBiH Government approval. The FBiH Ministry of Labor and Social Policy organized a series of promotional events during the second half of </w:t>
      </w:r>
      <w:r>
        <w:rPr>
          <w:rFonts w:eastAsia="Times New Roman" w:asciiTheme="minorHAnsi" w:hAnsiTheme="minorHAnsi" w:cstheme="minorBidi"/>
          <w:bCs/>
        </w:rPr>
        <w:t>2023</w:t>
      </w:r>
      <w:r>
        <w:rPr>
          <w:rFonts w:asciiTheme="minorHAnsi" w:hAnsiTheme="minorHAnsi" w:cstheme="minorBidi"/>
          <w:bCs/>
        </w:rPr>
        <w:t xml:space="preserve"> - in Sarajevo, Tuzla, Mostar, </w:t>
      </w:r>
      <w:proofErr w:type="spellStart"/>
      <w:r>
        <w:rPr>
          <w:rFonts w:asciiTheme="minorHAnsi" w:hAnsiTheme="minorHAnsi" w:cstheme="minorBidi"/>
          <w:bCs/>
        </w:rPr>
        <w:t>Zenica</w:t>
      </w:r>
      <w:proofErr w:type="spellEnd"/>
      <w:r>
        <w:rPr>
          <w:rFonts w:asciiTheme="minorHAnsi" w:hAnsiTheme="minorHAnsi" w:cstheme="minorBidi"/>
          <w:bCs/>
        </w:rPr>
        <w:t xml:space="preserve">, and </w:t>
      </w:r>
      <w:proofErr w:type="spellStart"/>
      <w:r>
        <w:rPr>
          <w:rFonts w:asciiTheme="minorHAnsi" w:hAnsiTheme="minorHAnsi" w:cstheme="minorBidi"/>
          <w:bCs/>
        </w:rPr>
        <w:t>Bihać</w:t>
      </w:r>
      <w:proofErr w:type="spellEnd"/>
      <w:r>
        <w:rPr>
          <w:rFonts w:asciiTheme="minorHAnsi" w:hAnsiTheme="minorHAnsi" w:cstheme="minorBidi"/>
          <w:bCs/>
        </w:rPr>
        <w:t xml:space="preserve">, at which the strategic objectives and measures from the Strategy were presented and discussed with a large group of stakeholders. The FBiH Strategy outlines 3 key strategic goals: 1) poverty reduction, 2) addressing social exclusion, and 3) strengthening the social protection system, while RS opted for a more conservative approach where the strategic goals are aligned with the system strengthening approach: 1) enhance social service provision for the most vulnerable groups and ensure better targeting of social protection beneficiaries, 2) improve family and child protection, with a focus on preventive measures, and 3) strengthen the capacity of social, child and family protection systems and promote cross-sector cooperation. </w:t>
      </w:r>
    </w:p>
    <w:p w:rsidR="0023501C" w:rsidP="003D7404" w:rsidRDefault="0023501C" w14:paraId="77E24028" w14:textId="77777777">
      <w:pPr>
        <w:spacing w:before="120"/>
        <w:jc w:val="both"/>
        <w:rPr>
          <w:rFonts w:asciiTheme="minorHAnsi" w:hAnsiTheme="minorHAnsi" w:cstheme="minorBidi"/>
          <w:bCs/>
        </w:rPr>
      </w:pPr>
      <w:r>
        <w:rPr>
          <w:rFonts w:asciiTheme="minorHAnsi" w:hAnsiTheme="minorHAnsi" w:cstheme="minorBidi"/>
          <w:bCs/>
        </w:rPr>
        <w:t>The Strategies represent a pivotal cornerstone for long-term planning, resource allocation, and needs-based system strengthening that encompasses several key areas for holistic investments: poverty, social inclusion, cash benefits reforms, social service strengthening, disability assessment reform, as well as deinstitutionalization elements with focus on the most vulnerable groups.</w:t>
      </w:r>
    </w:p>
    <w:p w:rsidRPr="003D7404" w:rsidR="00E871CA" w:rsidP="7EC14CE8" w:rsidRDefault="00E871CA" w14:paraId="3DC4269B" w14:textId="77777777">
      <w:pPr>
        <w:spacing w:before="120"/>
        <w:jc w:val="both"/>
        <w:rPr>
          <w:rFonts w:eastAsia="Times New Roman" w:asciiTheme="minorHAnsi" w:hAnsiTheme="minorHAnsi" w:cstheme="minorBidi"/>
          <w:b/>
          <w:color w:val="2F5496" w:themeColor="accent1" w:themeShade="BF"/>
        </w:rPr>
      </w:pPr>
      <w:r>
        <w:rPr>
          <w:rFonts w:eastAsia="Times New Roman" w:asciiTheme="minorHAnsi" w:hAnsiTheme="minorHAnsi" w:cstheme="minorBidi"/>
          <w:b/>
          <w:color w:val="2F5496" w:themeColor="accent1" w:themeShade="BF"/>
        </w:rPr>
        <w:t>Capacity development for designing care economy polices (UN WOMEN)</w:t>
      </w:r>
    </w:p>
    <w:p w:rsidRPr="003D7404" w:rsidR="00771E5B" w:rsidP="003D7404" w:rsidRDefault="00E15B9F" w14:paraId="7CF0498F" w14:textId="1D0929C8">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UN Women built on findings from the 2023 Baseline Study on the Care Economy in BiH to support development of care-friendly policies that address key challenges: streamlining accessible services for vulnerable populations and alleviating the burden of unpaid care work typically shouldered by women. Activities promoted recognition, reduction, and redistribution of unpaid gendered care work across three pillars. </w:t>
      </w:r>
    </w:p>
    <w:p w:rsidRPr="003D7404" w:rsidR="00AD70B5" w:rsidP="00AD70B5" w:rsidRDefault="00AD70B5" w14:paraId="2942DDE0" w14:textId="77777777">
      <w:pPr>
        <w:pStyle w:val="ListParagraph"/>
        <w:numPr>
          <w:ilvl w:val="0"/>
          <w:numId w:val="16"/>
        </w:numPr>
        <w:spacing w:before="120"/>
        <w:jc w:val="both"/>
        <w:rPr>
          <w:b/>
        </w:rPr>
      </w:pPr>
      <w:r>
        <w:rPr>
          <w:b/>
        </w:rPr>
        <w:t>Support to normative and policy framework changes to better integrate care into laws and government priorities</w:t>
      </w:r>
    </w:p>
    <w:p w:rsidRPr="003D7404" w:rsidR="007763BA" w:rsidP="00071454" w:rsidRDefault="001F6578" w14:paraId="7FE7A86A" w14:textId="77777777">
      <w:pPr>
        <w:spacing w:before="120"/>
        <w:jc w:val="both"/>
        <w:rPr>
          <w:bCs/>
          <w:noProof/>
        </w:rPr>
      </w:pPr>
      <w:r>
        <w:rPr>
          <w:bCs/>
        </w:rPr>
        <w:t>Currently, in BiH, care remains largely a private, family matter, with weak infrastructure and few policies targeted at increasing the accessibility of care. Notably, access to childcare remains lower than the demand, and elderly care remains scarce outside of institutions</w:t>
      </w:r>
      <w:r>
        <w:rPr>
          <w:rStyle w:val="FootnoteReference"/>
          <w:bCs/>
        </w:rPr>
        <w:footnoteReference w:id="2"/>
      </w:r>
      <w:r>
        <w:rPr>
          <w:bCs/>
        </w:rPr>
        <w:t>. Developing infrastructure and changing social norms around care requires governments to adopt laws and policy frameworks that integrate care and support gender-sensitive care practices. Technical support to government partners included comments on the FBiH draft Law on Social Services regarding care-related services and gender inclusivity, and input on the RS strategy on Women’s Entrepreneurship Development to address care as a barrier to women’s entrepreneurship. A Memorandum of Understanding with Municipality Center - Sarajevo, signed on 20 May 2024, formalized collaboration on care economy implementation, including financial support for fathers using parental leave and advocacy through the "</w:t>
      </w:r>
      <w:proofErr w:type="spellStart"/>
      <w:r>
        <w:rPr>
          <w:bCs/>
        </w:rPr>
        <w:t>Nemam</w:t>
      </w:r>
      <w:proofErr w:type="spellEnd"/>
      <w:r>
        <w:rPr>
          <w:bCs/>
        </w:rPr>
        <w:t xml:space="preserve"> </w:t>
      </w:r>
      <w:proofErr w:type="spellStart"/>
      <w:r>
        <w:rPr>
          <w:bCs/>
        </w:rPr>
        <w:t>ti</w:t>
      </w:r>
      <w:proofErr w:type="spellEnd"/>
      <w:r>
        <w:rPr>
          <w:bCs/>
        </w:rPr>
        <w:t xml:space="preserve"> </w:t>
      </w:r>
      <w:proofErr w:type="spellStart"/>
      <w:r>
        <w:rPr>
          <w:bCs/>
        </w:rPr>
        <w:t>kad</w:t>
      </w:r>
      <w:proofErr w:type="spellEnd"/>
      <w:r>
        <w:rPr>
          <w:bCs/>
        </w:rPr>
        <w:t>" campaign.</w:t>
      </w:r>
      <w:r>
        <w:rPr>
          <w:bCs/>
          <w:noProof/>
        </w:rPr>
        <w:t xml:space="preserve"> </w:t>
      </w:r>
    </w:p>
    <w:p w:rsidRPr="003D7404" w:rsidR="00662F58" w:rsidP="003D7404" w:rsidRDefault="0B7FC29C" w14:paraId="090EE606" w14:textId="0394A358">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To guide further changes needed in legislative and socio-economic, UN Women developed analyses of the existing legislation and policies, as well as financing and social infrastructures. This analysis, informed by the recommendations of the Baseline study, also included main opportunities and avenues for change to strengthen care availability. </w:t>
      </w:r>
    </w:p>
    <w:p w:rsidRPr="003D7404" w:rsidR="00694443" w:rsidP="0093204E" w:rsidRDefault="00694443" w14:paraId="1B9B3200" w14:textId="77777777">
      <w:pPr>
        <w:pStyle w:val="ListParagraph"/>
        <w:numPr>
          <w:ilvl w:val="0"/>
          <w:numId w:val="16"/>
        </w:numPr>
        <w:spacing w:before="120"/>
        <w:jc w:val="both"/>
        <w:rPr>
          <w:b/>
        </w:rPr>
      </w:pPr>
      <w:r>
        <w:rPr>
          <w:b/>
        </w:rPr>
        <w:t>Development of pilot models to increase care accessibility</w:t>
      </w:r>
    </w:p>
    <w:p w:rsidRPr="003D7404" w:rsidR="00B422A1" w:rsidP="00B422A1" w:rsidRDefault="00E94322" w14:paraId="5F3ACCB1" w14:textId="77777777">
      <w:pPr>
        <w:spacing w:before="120"/>
        <w:jc w:val="both"/>
        <w:rPr>
          <w:bCs/>
        </w:rPr>
      </w:pPr>
      <w:r>
        <w:rPr>
          <w:bCs/>
        </w:rPr>
        <w:t xml:space="preserve">Aligned with the recommendations of the Baseline Study, under the scope of the Programme, UN Women has developed pilot care models with the overall objective of improving care services, improving social protection benefits for care, enhancing leave policies and flexible working </w:t>
      </w:r>
      <w:proofErr w:type="gramStart"/>
      <w:r>
        <w:rPr>
          <w:bCs/>
        </w:rPr>
        <w:t>arrangements</w:t>
      </w:r>
      <w:proofErr w:type="gramEnd"/>
      <w:r>
        <w:rPr>
          <w:bCs/>
        </w:rPr>
        <w:t xml:space="preserve"> and increasing awareness around unpaid care work. In the first half of 2024, UN Women developed the interactive </w:t>
      </w:r>
      <w:hyperlink w:history="1" r:id="rId15">
        <w:r>
          <w:rPr>
            <w:rStyle w:val="Hyperlink"/>
            <w:bCs/>
          </w:rPr>
          <w:t>Map of Rights and Services for Persons with Disabilities and the Elderly in the Sarajevo Canton</w:t>
        </w:r>
      </w:hyperlink>
      <w:r>
        <w:rPr>
          <w:bCs/>
        </w:rPr>
        <w:t xml:space="preserve">. On 17th of April 2024, Memorandum of Understanding was signed with the Sarajevo Canton to publish and integrate this tool in its portfolio. This map allows persons with disabilities, the </w:t>
      </w:r>
      <w:proofErr w:type="gramStart"/>
      <w:r>
        <w:rPr>
          <w:bCs/>
        </w:rPr>
        <w:t>elderly</w:t>
      </w:r>
      <w:proofErr w:type="gramEnd"/>
      <w:r>
        <w:rPr>
          <w:bCs/>
        </w:rPr>
        <w:t xml:space="preserve"> and their </w:t>
      </w:r>
      <w:proofErr w:type="spellStart"/>
      <w:r>
        <w:rPr>
          <w:bCs/>
        </w:rPr>
        <w:t>carers</w:t>
      </w:r>
      <w:proofErr w:type="spellEnd"/>
      <w:r>
        <w:rPr>
          <w:bCs/>
        </w:rPr>
        <w:t xml:space="preserve"> to access all information related to their rights in one place. </w:t>
      </w:r>
    </w:p>
    <w:p w:rsidRPr="003D7404" w:rsidR="002A3768" w:rsidRDefault="00B422A1" w14:paraId="32A85FC7" w14:textId="73D1391C">
      <w:pPr>
        <w:numPr>
          <w:ilvl w:val="1"/>
          <w:numId w:val="45"/>
        </w:numPr>
        <w:spacing w:before="120"/>
        <w:jc w:val="both"/>
        <w:rPr>
          <w:bCs/>
        </w:rPr>
      </w:pPr>
      <w:r>
        <w:rPr>
          <w:bCs/>
        </w:rPr>
        <w:t xml:space="preserve">Moreover, the Map significantly benefited women caregivers of persons with disabilities and older adults, particularly in rural and low-income households, by simplifying access to entitlements and reducing the time spent navigating complex systems. </w:t>
      </w:r>
    </w:p>
    <w:p w:rsidRPr="003D7404" w:rsidR="00B43EAE" w:rsidP="003D7404" w:rsidRDefault="002A3768" w14:paraId="673AC94B" w14:textId="3C88CB80">
      <w:pPr>
        <w:pStyle w:val="Default"/>
        <w:spacing w:before="120" w:after="120" w:line="276" w:lineRule="auto"/>
        <w:rPr>
          <w:bCs/>
        </w:rPr>
      </w:pPr>
      <w:r>
        <w:rPr>
          <w:bCs/>
          <w:sz w:val="22"/>
          <w:szCs w:val="22"/>
        </w:rPr>
        <w:t xml:space="preserve">A unified Catalogue of Rights and Services for Persons with Disabilities was developed in partnership with the FBiH Ministry of </w:t>
      </w:r>
      <w:proofErr w:type="spellStart"/>
      <w:r>
        <w:rPr>
          <w:bCs/>
          <w:sz w:val="22"/>
          <w:szCs w:val="22"/>
        </w:rPr>
        <w:t>Labour</w:t>
      </w:r>
      <w:proofErr w:type="spellEnd"/>
      <w:r>
        <w:rPr>
          <w:bCs/>
          <w:sz w:val="22"/>
          <w:szCs w:val="22"/>
        </w:rPr>
        <w:t xml:space="preserve"> and Social Policy, expanding the Sarajevo Canton model to all ten cantons. This centralized tool standardizes access to information, improves service delivery, and embeds care-related support into public systems. The initiative advances institutional recognition and redistribution of unpaid care work and positions caregiving as a shared policy responsibility. </w:t>
      </w:r>
    </w:p>
    <w:p w:rsidR="003A2860" w:rsidP="003D7404" w:rsidRDefault="00395DBD" w14:paraId="55492D64" w14:textId="77777777">
      <w:pPr>
        <w:spacing w:before="120"/>
        <w:jc w:val="both"/>
        <w:rPr>
          <w:bCs/>
        </w:rPr>
      </w:pPr>
      <w:r>
        <w:rPr>
          <w:bCs/>
        </w:rPr>
        <w:t xml:space="preserve">UN Women collaborated with several institutions to establish the </w:t>
      </w:r>
      <w:proofErr w:type="spellStart"/>
      <w:r>
        <w:rPr>
          <w:bCs/>
        </w:rPr>
        <w:t>Gerontodomaćice</w:t>
      </w:r>
      <w:proofErr w:type="spellEnd"/>
      <w:r>
        <w:rPr>
          <w:bCs/>
        </w:rPr>
        <w:t xml:space="preserve"> model, which advanced the professionalization of community-based elderly care across the Federation of BiH. In 2025, 217 individuals (213 women, 4 men) completed certified training in home care provision, resulting in 49 women were employed within this model across 18 local communities. The model enabled long-term unemployed women, particularly from rural areas, to gain dignified employment and income security. Implemented in cooperation with the FBiH Ministry of </w:t>
      </w:r>
      <w:proofErr w:type="spellStart"/>
      <w:r>
        <w:rPr>
          <w:bCs/>
        </w:rPr>
        <w:t>Labour</w:t>
      </w:r>
      <w:proofErr w:type="spellEnd"/>
      <w:r>
        <w:rPr>
          <w:bCs/>
        </w:rPr>
        <w:t xml:space="preserve"> and Social Policy and integrated into institutional budgets and development plans, the model addresses the dual challenge of meeting the care needs of an ageing population while enabling long-term unemployed women to re-enter the </w:t>
      </w:r>
      <w:proofErr w:type="spellStart"/>
      <w:r>
        <w:rPr>
          <w:bCs/>
        </w:rPr>
        <w:t>labour</w:t>
      </w:r>
      <w:proofErr w:type="spellEnd"/>
      <w:r>
        <w:rPr>
          <w:bCs/>
        </w:rPr>
        <w:t xml:space="preserve"> market through dignified, socially valuable employment. </w:t>
      </w:r>
    </w:p>
    <w:p w:rsidRPr="003D7404" w:rsidR="000E14C7" w:rsidP="003D7404" w:rsidRDefault="000E14C7" w14:paraId="255EF7F8" w14:textId="77777777">
      <w:pPr>
        <w:spacing w:before="120"/>
        <w:jc w:val="both"/>
        <w:rPr>
          <w:bCs/>
        </w:rPr>
      </w:pPr>
    </w:p>
    <w:p w:rsidRPr="003D7404" w:rsidR="00694443" w:rsidP="003D7404" w:rsidRDefault="00C15C50" w14:paraId="468A56DE" w14:textId="61AE82D4">
      <w:pPr>
        <w:spacing w:before="120"/>
        <w:jc w:val="both"/>
        <w:rPr>
          <w:bCs/>
        </w:rPr>
      </w:pPr>
      <w:r>
        <w:rPr>
          <w:bCs/>
        </w:rPr>
        <w:t>The Entrepreneurs in Care model in Bijeljina equipped 40 women with combined caregiving and entrepreneurship skills to launch micro businesses that provide affordable, quality community-based care for older persons and persons with disabilities. By turning informal care work into formal entrepreneurship, the initiative particularly empowered women from low-income backgrounds and remote communities, expanding access to services for older persons and persons with disabilities who are frequently left behind in mainstream service provision. Through mentorship and business support packages, 12 of the best business ideas were supported and further developed. By converting unpaid care responsibilities into income-generating enterprises, the model broadens service coverage in underserved areas, stimulates local job creation, and demonstrates care entrepreneurship as a scalable pathway to women’s economic empowerment.</w:t>
      </w:r>
    </w:p>
    <w:p w:rsidRPr="003D7404" w:rsidR="00694443" w:rsidP="003D7404" w:rsidRDefault="00694443" w14:paraId="44336CE6" w14:textId="77777777">
      <w:pPr>
        <w:spacing w:before="120"/>
        <w:jc w:val="both"/>
        <w:rPr>
          <w:bCs/>
        </w:rPr>
      </w:pPr>
      <w:r>
        <w:rPr>
          <w:bCs/>
        </w:rPr>
        <w:t xml:space="preserve">In the FBiH, UN Women consulted with care-providing organizations such as the Red Cross and </w:t>
      </w:r>
      <w:proofErr w:type="spellStart"/>
      <w:r>
        <w:rPr>
          <w:bCs/>
        </w:rPr>
        <w:t>Hilfswerk</w:t>
      </w:r>
      <w:proofErr w:type="spellEnd"/>
      <w:r>
        <w:rPr>
          <w:bCs/>
        </w:rPr>
        <w:t xml:space="preserve"> and worked alongside government institutions such as the FBiH Employment Agency and the FBiH Ministry of </w:t>
      </w:r>
      <w:proofErr w:type="spellStart"/>
      <w:r>
        <w:rPr>
          <w:bCs/>
        </w:rPr>
        <w:t>Labour</w:t>
      </w:r>
      <w:proofErr w:type="spellEnd"/>
      <w:r>
        <w:rPr>
          <w:bCs/>
        </w:rPr>
        <w:t xml:space="preserve"> and Social Policy. In the RS, consultations took place with the Ministry of Economy and Entrepreneurship, the Ministry of Youth, Family and Sports, as well as the Ministry of European Integration and International Cooperation. </w:t>
      </w:r>
    </w:p>
    <w:tbl>
      <w:tblPr>
        <w:tblpPr w:leftFromText="180" w:rightFromText="180" w:vertAnchor="text" w:horzAnchor="margin" w:tblpY="882"/>
        <w:tblW w:w="0" w:type="auto"/>
        <w:tblLook w:val="04A0" w:firstRow="1" w:lastRow="0" w:firstColumn="1" w:lastColumn="0" w:noHBand="0" w:noVBand="1"/>
      </w:tblPr>
      <w:tblGrid>
        <w:gridCol w:w="10080"/>
      </w:tblGrid>
      <w:tr w:rsidR="00286866" w:rsidTr="00286866" w14:paraId="077E4EF1" w14:textId="77777777">
        <w:tc>
          <w:tcPr>
            <w:tcW w:w="10080" w:type="dxa"/>
            <w:shd w:val="clear" w:color="auto" w:fill="E5243B"/>
          </w:tcPr>
          <w:p w:rsidR="00286866" w:rsidP="00286866" w:rsidRDefault="00286866" w14:paraId="7FBCC27E" w14:textId="77777777">
            <w:r>
              <w:rPr>
                <w:b/>
                <w:color w:val="FFFFFF"/>
              </w:rPr>
              <w:t>★ IMPACT SPOTLIGHT: CARE ECONOMY</w:t>
            </w:r>
          </w:p>
        </w:tc>
      </w:tr>
      <w:tr w:rsidR="00286866" w:rsidTr="00286866" w14:paraId="0F9F3D10" w14:textId="77777777">
        <w:tc>
          <w:tcPr>
            <w:tcW w:w="10080" w:type="dxa"/>
            <w:shd w:val="clear" w:color="auto" w:fill="F2F2F2"/>
          </w:tcPr>
          <w:p w:rsidRPr="000E14C7" w:rsidR="00286866" w:rsidP="00286866" w:rsidRDefault="00286866" w14:paraId="13A72E13" w14:textId="77777777">
            <w:pPr>
              <w:rPr>
                <w:sz w:val="24"/>
                <w:szCs w:val="24"/>
              </w:rPr>
            </w:pPr>
            <w:r>
              <w:rPr>
                <w:sz w:val="24"/>
                <w:szCs w:val="24"/>
              </w:rPr>
              <w:t>217 certified caregivers and 49 formal jobs created for women in 18 local communities.</w:t>
            </w:r>
          </w:p>
        </w:tc>
      </w:tr>
    </w:tbl>
    <w:p w:rsidRPr="003D7404" w:rsidR="00C14320" w:rsidP="003D7404" w:rsidRDefault="00694443" w14:paraId="34BF4E73" w14:textId="784B1798">
      <w:pPr>
        <w:spacing w:before="120"/>
        <w:jc w:val="both"/>
        <w:rPr>
          <w:bCs/>
        </w:rPr>
      </w:pPr>
      <w:r>
        <w:rPr>
          <w:bCs/>
        </w:rPr>
        <w:t xml:space="preserve">UN Women also lobbied with the </w:t>
      </w:r>
      <w:proofErr w:type="gramStart"/>
      <w:r>
        <w:rPr>
          <w:bCs/>
        </w:rPr>
        <w:t>Mayor</w:t>
      </w:r>
      <w:proofErr w:type="gramEnd"/>
      <w:r>
        <w:rPr>
          <w:bCs/>
        </w:rPr>
        <w:t xml:space="preserve"> and other counterparts in Bijeljina to support their development of care services and to cooperate further on the implementation of care economy models. </w:t>
      </w:r>
    </w:p>
    <w:p w:rsidRPr="003D7404" w:rsidR="00C14320" w:rsidP="003D7404" w:rsidRDefault="00C14320" w14:paraId="2A31598F" w14:textId="77777777">
      <w:pPr>
        <w:pStyle w:val="ListParagraph"/>
        <w:numPr>
          <w:ilvl w:val="0"/>
          <w:numId w:val="16"/>
        </w:numPr>
        <w:spacing w:before="120"/>
        <w:ind w:firstLine="0"/>
        <w:jc w:val="both"/>
        <w:rPr>
          <w:b/>
        </w:rPr>
      </w:pPr>
      <w:r>
        <w:rPr>
          <w:b/>
        </w:rPr>
        <w:t>Awareness-raising</w:t>
      </w:r>
    </w:p>
    <w:p w:rsidRPr="003D7404" w:rsidR="006174E0" w:rsidP="003D7404" w:rsidRDefault="00C857CE" w14:paraId="5343A1D3" w14:textId="73D51DFF">
      <w:pPr>
        <w:spacing w:before="120"/>
        <w:jc w:val="both"/>
        <w:rPr>
          <w:rFonts w:eastAsia="Times New Roman"/>
          <w:bCs/>
          <w:color w:val="212121"/>
          <w:lang w:eastAsia="en-GB"/>
        </w:rPr>
      </w:pPr>
      <w:r>
        <w:rPr>
          <w:rFonts w:eastAsia="Times New Roman"/>
          <w:bCs/>
          <w:lang w:eastAsia="en-GB"/>
        </w:rPr>
        <w:t>Awareness-raising through the "</w:t>
      </w:r>
      <w:proofErr w:type="spellStart"/>
      <w:r>
        <w:rPr>
          <w:rFonts w:eastAsia="Times New Roman"/>
          <w:bCs/>
          <w:lang w:eastAsia="en-GB"/>
        </w:rPr>
        <w:t>Nemam</w:t>
      </w:r>
      <w:proofErr w:type="spellEnd"/>
      <w:r>
        <w:rPr>
          <w:rFonts w:eastAsia="Times New Roman"/>
          <w:bCs/>
          <w:lang w:eastAsia="en-GB"/>
        </w:rPr>
        <w:t xml:space="preserve"> </w:t>
      </w:r>
      <w:proofErr w:type="spellStart"/>
      <w:r>
        <w:rPr>
          <w:rFonts w:eastAsia="Times New Roman"/>
          <w:bCs/>
          <w:lang w:eastAsia="en-GB"/>
        </w:rPr>
        <w:t>ti</w:t>
      </w:r>
      <w:proofErr w:type="spellEnd"/>
      <w:r>
        <w:rPr>
          <w:rFonts w:eastAsia="Times New Roman"/>
          <w:bCs/>
          <w:lang w:eastAsia="en-GB"/>
        </w:rPr>
        <w:t xml:space="preserve"> </w:t>
      </w:r>
      <w:proofErr w:type="spellStart"/>
      <w:r>
        <w:rPr>
          <w:rFonts w:eastAsia="Times New Roman"/>
          <w:bCs/>
          <w:lang w:eastAsia="en-GB"/>
        </w:rPr>
        <w:t>kad</w:t>
      </w:r>
      <w:proofErr w:type="spellEnd"/>
      <w:r>
        <w:rPr>
          <w:rFonts w:eastAsia="Times New Roman"/>
          <w:bCs/>
          <w:lang w:eastAsia="en-GB"/>
        </w:rPr>
        <w:t>" campaign reached wide audiences via 78 media appearances, promoting recognition and redistribution of unpaid care work. at the No Limit BH Advertising Festival for its campaign organized under the Programme. "</w:t>
      </w:r>
      <w:proofErr w:type="spellStart"/>
      <w:r>
        <w:rPr>
          <w:rFonts w:eastAsia="Times New Roman"/>
          <w:bCs/>
          <w:lang w:eastAsia="en-GB"/>
        </w:rPr>
        <w:t>Nemam</w:t>
      </w:r>
      <w:proofErr w:type="spellEnd"/>
      <w:r>
        <w:rPr>
          <w:rFonts w:eastAsia="Times New Roman"/>
          <w:bCs/>
          <w:lang w:eastAsia="en-GB"/>
        </w:rPr>
        <w:t xml:space="preserve"> </w:t>
      </w:r>
      <w:proofErr w:type="spellStart"/>
      <w:r>
        <w:rPr>
          <w:rFonts w:eastAsia="Times New Roman"/>
          <w:bCs/>
          <w:lang w:eastAsia="en-GB"/>
        </w:rPr>
        <w:t>ti</w:t>
      </w:r>
      <w:proofErr w:type="spellEnd"/>
      <w:r>
        <w:rPr>
          <w:rFonts w:eastAsia="Times New Roman"/>
          <w:bCs/>
          <w:lang w:eastAsia="en-GB"/>
        </w:rPr>
        <w:t xml:space="preserve"> </w:t>
      </w:r>
      <w:proofErr w:type="spellStart"/>
      <w:r>
        <w:rPr>
          <w:rFonts w:eastAsia="Times New Roman"/>
          <w:bCs/>
          <w:lang w:eastAsia="en-GB"/>
        </w:rPr>
        <w:t>kad</w:t>
      </w:r>
      <w:proofErr w:type="spellEnd"/>
      <w:r>
        <w:rPr>
          <w:rFonts w:eastAsia="Times New Roman"/>
          <w:bCs/>
          <w:lang w:eastAsia="en-GB"/>
        </w:rPr>
        <w:t xml:space="preserve">" (I do not have time) campaign targeted the public and key decision makers to raise awareness on the importance of addressing unpaid care work in the country. The golden award signals the success of this campaign. </w:t>
      </w:r>
    </w:p>
    <w:p w:rsidRPr="003D7404" w:rsidR="00C14320" w:rsidP="00C14320" w:rsidRDefault="00C14320" w14:paraId="64A40573" w14:textId="77777777">
      <w:pPr>
        <w:jc w:val="both"/>
        <w:rPr>
          <w:rFonts w:eastAsia="Times New Roman"/>
          <w:bCs/>
          <w:lang w:eastAsia="en-GB"/>
        </w:rPr>
      </w:pPr>
    </w:p>
    <w:p w:rsidRPr="003D7404" w:rsidR="00AD141C" w:rsidP="2236E18A" w:rsidRDefault="63E6E5BF" w14:paraId="0371F8E7" w14:textId="77777777">
      <w:pPr>
        <w:spacing w:before="120"/>
        <w:jc w:val="both"/>
        <w:rPr>
          <w:rFonts w:eastAsia="Times New Roman" w:asciiTheme="minorHAnsi" w:hAnsiTheme="minorHAnsi" w:cstheme="minorBidi"/>
          <w:b/>
          <w:color w:val="2F5496" w:themeColor="accent1" w:themeShade="BF"/>
        </w:rPr>
      </w:pPr>
      <w:r>
        <w:rPr>
          <w:rFonts w:eastAsia="Times New Roman" w:asciiTheme="minorHAnsi" w:hAnsiTheme="minorHAnsi" w:cstheme="minorBidi"/>
          <w:b/>
          <w:color w:val="2F5496" w:themeColor="accent1" w:themeShade="BF"/>
        </w:rPr>
        <w:t>Green Transition/Circular Economy Web Platform</w:t>
      </w:r>
    </w:p>
    <w:p w:rsidRPr="003D7404" w:rsidR="00ED11A1" w:rsidP="003D7404" w:rsidRDefault="2C6F75D1" w14:paraId="46666D84" w14:textId="77777777">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Within this Programme, a </w:t>
      </w:r>
      <w:hyperlink r:id="rId16">
        <w:r>
          <w:rPr>
            <w:rFonts w:asciiTheme="minorHAnsi" w:hAnsiTheme="minorHAnsi" w:eastAsiaTheme="minorEastAsia" w:cstheme="minorBidi"/>
            <w:bCs/>
          </w:rPr>
          <w:t xml:space="preserve">Green Transition/Circular Economy </w:t>
        </w:r>
        <w:r>
          <w:rPr>
            <w:rStyle w:val="Hyperlink"/>
            <w:rFonts w:asciiTheme="minorHAnsi" w:hAnsiTheme="minorHAnsi" w:eastAsiaTheme="minorEastAsia" w:cstheme="minorBidi"/>
            <w:bCs/>
          </w:rPr>
          <w:t>Web Platform</w:t>
        </w:r>
      </w:hyperlink>
      <w:r>
        <w:rPr>
          <w:rFonts w:asciiTheme="minorHAnsi" w:hAnsiTheme="minorHAnsi" w:eastAsiaTheme="minorEastAsia" w:cstheme="minorBidi"/>
          <w:bCs/>
        </w:rPr>
        <w:t xml:space="preserve"> was developed, representing a comprehensive platform for sharing news and practices related to green transition and circular economy. This platform brings together key institutions and sectors, the private sector, development partners, civil society, and other relevant stakeholders around a shared commitment to sustainability and green transition. It is designed to facilitate exchange, foster structured dialogue, and mobilize collective knowledge and expertise, serving as a collaborative mechanism to support and accelerate Bosnia and Herzegovina’s green transition.</w:t>
      </w:r>
    </w:p>
    <w:p w:rsidRPr="003D7404" w:rsidR="00ED11A1" w:rsidP="003D7404" w:rsidRDefault="6988381A" w14:paraId="62843240" w14:textId="77777777">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The platform has undergone multiple adaptions, to reorient it from platform dedicated to only circular economy and to connect it to the emerging Green Transition Portfolio, and its pillars (Circular Economy, </w:t>
      </w:r>
      <w:proofErr w:type="spellStart"/>
      <w:r>
        <w:rPr>
          <w:rFonts w:asciiTheme="minorHAnsi" w:hAnsiTheme="minorHAnsi" w:eastAsiaTheme="minorEastAsia" w:cstheme="minorBidi"/>
          <w:bCs/>
        </w:rPr>
        <w:t>Decarbonisation</w:t>
      </w:r>
      <w:proofErr w:type="spellEnd"/>
      <w:r>
        <w:rPr>
          <w:rFonts w:asciiTheme="minorHAnsi" w:hAnsiTheme="minorHAnsi" w:eastAsiaTheme="minorEastAsia" w:cstheme="minorBidi"/>
          <w:bCs/>
        </w:rPr>
        <w:t xml:space="preserve"> and Climate Resilience, Depollution and Biodiversity and Nature). The </w:t>
      </w:r>
      <w:proofErr w:type="gramStart"/>
      <w:r>
        <w:rPr>
          <w:rFonts w:asciiTheme="minorHAnsi" w:hAnsiTheme="minorHAnsi" w:eastAsiaTheme="minorEastAsia" w:cstheme="minorBidi"/>
          <w:bCs/>
        </w:rPr>
        <w:t>ultimate goal</w:t>
      </w:r>
      <w:proofErr w:type="gramEnd"/>
      <w:r>
        <w:rPr>
          <w:rFonts w:asciiTheme="minorHAnsi" w:hAnsiTheme="minorHAnsi" w:eastAsiaTheme="minorEastAsia" w:cstheme="minorBidi"/>
          <w:bCs/>
        </w:rPr>
        <w:t xml:space="preserve"> of the transformed web platform is to serve as a Green Transition Engagement Platform, connecting various stakeholders in a joint goal towards greener, circular and sustainable lifestyles.</w:t>
      </w:r>
    </w:p>
    <w:p w:rsidRPr="003D7404" w:rsidR="008804C3" w:rsidP="003D7404" w:rsidRDefault="00AB396B" w14:paraId="04889E2A" w14:textId="77777777">
      <w:pPr>
        <w:spacing w:before="120"/>
        <w:jc w:val="both"/>
        <w:rPr>
          <w:bCs/>
        </w:rPr>
      </w:pPr>
      <w:r>
        <w:rPr>
          <w:bCs/>
        </w:rPr>
        <w:t xml:space="preserve">The Programme engaged a Content Manager for the web platform, who delivered </w:t>
      </w:r>
      <w:proofErr w:type="gramStart"/>
      <w:r>
        <w:rPr>
          <w:bCs/>
        </w:rPr>
        <w:t>a number of</w:t>
      </w:r>
      <w:proofErr w:type="gramEnd"/>
      <w:r>
        <w:rPr>
          <w:bCs/>
        </w:rPr>
        <w:t xml:space="preserve"> appealing articles promoting the best practices from BiH, region and Europe, aiming to bring green transition and circular economy closer to the platform users. </w:t>
      </w:r>
    </w:p>
    <w:p w:rsidRPr="003D7404" w:rsidR="00ED11A1" w:rsidP="003D7404" w:rsidRDefault="14970976" w14:paraId="08286DBB" w14:textId="77777777">
      <w:pPr>
        <w:spacing w:before="120"/>
        <w:jc w:val="both"/>
        <w:rPr>
          <w:bCs/>
        </w:rPr>
      </w:pPr>
      <w:r>
        <w:rPr>
          <w:bCs/>
        </w:rPr>
        <w:t>One of the key components of the platform is circular economy maturity and circularity assessment tool, which allows companies to assess their:</w:t>
      </w:r>
    </w:p>
    <w:p w:rsidRPr="003D7404" w:rsidR="00ED11A1" w:rsidP="003D7404" w:rsidRDefault="2F1AB3B9" w14:paraId="12064274" w14:textId="77777777">
      <w:pPr>
        <w:pStyle w:val="ListParagraph"/>
        <w:numPr>
          <w:ilvl w:val="0"/>
          <w:numId w:val="7"/>
        </w:numPr>
        <w:spacing w:before="120"/>
        <w:ind w:firstLine="0"/>
        <w:jc w:val="both"/>
        <w:rPr>
          <w:rFonts w:asciiTheme="minorHAnsi" w:hAnsiTheme="minorHAnsi" w:eastAsiaTheme="minorEastAsia" w:cstheme="minorBidi"/>
          <w:bCs/>
        </w:rPr>
      </w:pPr>
      <w:r>
        <w:rPr>
          <w:rFonts w:asciiTheme="minorHAnsi" w:hAnsiTheme="minorHAnsi" w:eastAsiaTheme="minorEastAsia" w:cstheme="minorBidi"/>
          <w:bCs/>
        </w:rPr>
        <w:t xml:space="preserve">circularity - defined as a level of circular economy performance of the company concerning the maximum performance the company can achieve, and </w:t>
      </w:r>
    </w:p>
    <w:p w:rsidRPr="003D7404" w:rsidR="00E5710A" w:rsidP="003D7404" w:rsidRDefault="2F1AB3B9" w14:paraId="1530135E" w14:textId="77777777">
      <w:pPr>
        <w:pStyle w:val="ListParagraph"/>
        <w:numPr>
          <w:ilvl w:val="0"/>
          <w:numId w:val="7"/>
        </w:numPr>
        <w:spacing w:before="120"/>
        <w:ind w:firstLine="0"/>
        <w:jc w:val="both"/>
        <w:rPr>
          <w:rFonts w:eastAsia="Times New Roman" w:asciiTheme="minorHAnsi" w:hAnsiTheme="minorHAnsi" w:cstheme="minorBidi"/>
          <w:bCs/>
          <w:color w:val="2F5496" w:themeColor="accent1" w:themeShade="BF"/>
        </w:rPr>
      </w:pPr>
      <w:r>
        <w:rPr>
          <w:rFonts w:asciiTheme="minorHAnsi" w:hAnsiTheme="minorHAnsi" w:eastAsiaTheme="minorEastAsia" w:cstheme="minorBidi"/>
          <w:bCs/>
        </w:rPr>
        <w:t xml:space="preserve">maturity - defined as the extent to which the company carries out in a systematic and documented way those activities that involve circular economy or that can </w:t>
      </w:r>
      <w:proofErr w:type="spellStart"/>
      <w:r>
        <w:rPr>
          <w:rFonts w:asciiTheme="minorHAnsi" w:hAnsiTheme="minorHAnsi" w:eastAsiaTheme="minorEastAsia" w:cstheme="minorBidi"/>
          <w:bCs/>
        </w:rPr>
        <w:t>favour</w:t>
      </w:r>
      <w:proofErr w:type="spellEnd"/>
      <w:r>
        <w:rPr>
          <w:rFonts w:asciiTheme="minorHAnsi" w:hAnsiTheme="minorHAnsi" w:eastAsiaTheme="minorEastAsia" w:cstheme="minorBidi"/>
          <w:bCs/>
        </w:rPr>
        <w:t xml:space="preserve"> its implementation. </w:t>
      </w:r>
    </w:p>
    <w:p w:rsidRPr="003D7404" w:rsidR="4FB7E3D6" w:rsidP="003D7404" w:rsidRDefault="40BDBD12" w14:paraId="7063AB9A" w14:textId="77777777">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The tool is applied across different initiatives aimed at supporting companies in their transition towards circular economy practices, including targeted </w:t>
      </w:r>
      <w:proofErr w:type="spellStart"/>
      <w:r>
        <w:rPr>
          <w:rFonts w:asciiTheme="minorHAnsi" w:hAnsiTheme="minorHAnsi" w:eastAsiaTheme="minorEastAsia" w:cstheme="minorBidi"/>
          <w:bCs/>
        </w:rPr>
        <w:t>programme</w:t>
      </w:r>
      <w:proofErr w:type="spellEnd"/>
      <w:r>
        <w:rPr>
          <w:rFonts w:asciiTheme="minorHAnsi" w:hAnsiTheme="minorHAnsi" w:eastAsiaTheme="minorEastAsia" w:cstheme="minorBidi"/>
          <w:bCs/>
        </w:rPr>
        <w:t xml:space="preserve"> such as Circular Accelerator SME Accelerator and similar. It is intended to serve as a standardized reference point for understanding companies’ baseline performance and identifying areas for improvement. The tool is envisaged as one of the inputs for the assessment of companies in future activities, supporting evidence-based decision-making and informing the design of tailored technical assistance and capacity-building.</w:t>
      </w:r>
    </w:p>
    <w:p w:rsidR="00E5710A" w:rsidP="003D7404" w:rsidRDefault="319AE015" w14:paraId="3ABB2476" w14:textId="77777777">
      <w:pPr>
        <w:spacing w:before="120"/>
        <w:jc w:val="both"/>
        <w:rPr>
          <w:rFonts w:asciiTheme="minorHAnsi" w:hAnsiTheme="minorHAnsi" w:eastAsiaTheme="minorEastAsia" w:cstheme="minorBidi"/>
          <w:bCs/>
        </w:rPr>
      </w:pPr>
      <w:r>
        <w:rPr>
          <w:rFonts w:asciiTheme="minorHAnsi" w:hAnsiTheme="minorHAnsi" w:eastAsiaTheme="minorEastAsia" w:cstheme="minorBidi"/>
          <w:bCs/>
        </w:rPr>
        <w:t>Platform was launched in the first half of June 2024 and promoted through social media and relevant Programme partners.</w:t>
      </w:r>
    </w:p>
    <w:p w:rsidRPr="003D7404" w:rsidR="003D7404" w:rsidP="003D7404" w:rsidRDefault="003D7404" w14:paraId="02EFE833" w14:textId="77777777">
      <w:pPr>
        <w:spacing w:before="120"/>
        <w:jc w:val="both"/>
        <w:rPr>
          <w:rFonts w:asciiTheme="minorHAnsi" w:hAnsiTheme="minorHAnsi" w:eastAsiaTheme="minorEastAsia" w:cstheme="minorBidi"/>
          <w:bCs/>
        </w:rPr>
      </w:pPr>
    </w:p>
    <w:p w:rsidRPr="003D7404" w:rsidR="00E5710A" w:rsidP="2236E18A" w:rsidRDefault="00E5710A" w14:paraId="3872A3E6" w14:textId="77777777">
      <w:pPr>
        <w:spacing w:before="120"/>
        <w:jc w:val="both"/>
        <w:rPr>
          <w:rFonts w:eastAsia="Times New Roman" w:asciiTheme="minorHAnsi" w:hAnsiTheme="minorHAnsi" w:cstheme="minorBidi"/>
          <w:b/>
          <w:color w:val="2F5496" w:themeColor="accent1" w:themeShade="BF"/>
        </w:rPr>
      </w:pPr>
      <w:r>
        <w:rPr>
          <w:rFonts w:eastAsia="Times New Roman" w:asciiTheme="minorHAnsi" w:hAnsiTheme="minorHAnsi" w:cstheme="minorBidi"/>
          <w:b/>
          <w:color w:val="2F5496" w:themeColor="accent1" w:themeShade="BF"/>
        </w:rPr>
        <w:t>Mapping circular economy opportunities</w:t>
      </w:r>
    </w:p>
    <w:p w:rsidRPr="003D7404" w:rsidR="216A8F99" w:rsidP="003D7404" w:rsidRDefault="199C3C97" w14:paraId="13F5ED7E" w14:textId="0C7606F2">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The Programme has completed activities aimed at supporting governments in initiating the transition to a circular/green economy by mapping circular economy opportunities for two key industries (construction and packaging). This assignment contributed to a better understanding of the current state and transition potential towards circular business models and resource valorization in the packaging and construction industries in Bosnia and Herzegovina. Through in-depth analysis, it mapped key circular economy knowledge and skills gaps in the selected industries and highlighted the relevance and potential of circular business models. </w:t>
      </w:r>
      <w:r>
        <w:rPr>
          <w:rFonts w:eastAsia="Calibri"/>
          <w:bCs/>
        </w:rPr>
        <w:t xml:space="preserve">This process involved extensive consultations with institutional representatives, the private sector, and chambers of commerce. The resulting </w:t>
      </w:r>
      <w:r>
        <w:rPr>
          <w:rFonts w:asciiTheme="minorHAnsi" w:hAnsiTheme="minorHAnsi" w:eastAsiaTheme="minorEastAsia" w:cstheme="minorBidi"/>
          <w:bCs/>
        </w:rPr>
        <w:t>reports encompassed several key components: an analysis of the imperative of transition of selected sectors to circular economy, an overview of policy landscape in both the EU and BiH, an assessment of the current state, trends and specific needs of the construction and packaging industries in BiH concerning circular economy practices. Additionally, the reports included findings from a survey conducted among private sector entities, examples of good practices in EU and BiH, identified needs in related to education, research, and innovation, SWOT analysis, and set of recommendations for circular transition. The findings provided a basis for a training needs analysis, informing the design and delivery of subsequent capacity-building activities for the Programme team and institutional partners.</w:t>
      </w:r>
    </w:p>
    <w:p w:rsidRPr="003D7404" w:rsidR="13BF85A4" w:rsidP="003D7404" w:rsidRDefault="3B7575EA" w14:paraId="68EB0B96" w14:textId="26F53739">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In the second part of the assignment, the Service Provider delivered two comprehensive trainings of advanced complexity for institutional partners and chambers of commerce on both BiH and entity levels. First training focused on strategies, case studies, institutional support needed for the circular transition in construction and packaging sectors and business improvement through the application of circular economy and resource valorization practices. Second training provided overview on EU and BiH regulatory framework and their impact on manufacturing companies, progress, and trends in business operations in these two sectors, </w:t>
      </w:r>
      <w:proofErr w:type="gramStart"/>
      <w:r>
        <w:rPr>
          <w:rFonts w:asciiTheme="minorHAnsi" w:hAnsiTheme="minorHAnsi" w:eastAsiaTheme="minorEastAsia" w:cstheme="minorBidi"/>
          <w:bCs/>
        </w:rPr>
        <w:t>construction</w:t>
      </w:r>
      <w:proofErr w:type="gramEnd"/>
      <w:r>
        <w:rPr>
          <w:rFonts w:asciiTheme="minorHAnsi" w:hAnsiTheme="minorHAnsi" w:eastAsiaTheme="minorEastAsia" w:cstheme="minorBidi"/>
          <w:bCs/>
        </w:rPr>
        <w:t xml:space="preserve"> and renovation of buildings in circular economy, circular design of packaging, and CBAM reporting. </w:t>
      </w:r>
    </w:p>
    <w:p w:rsidRPr="003D7404" w:rsidR="2F1AB3B9" w:rsidP="003D7404" w:rsidRDefault="31E8C210" w14:paraId="5713BBDF" w14:textId="28546039">
      <w:pPr>
        <w:spacing w:before="120"/>
        <w:jc w:val="both"/>
        <w:rPr>
          <w:rFonts w:asciiTheme="minorHAnsi" w:hAnsiTheme="minorHAnsi" w:eastAsiaTheme="minorEastAsia" w:cstheme="minorBidi"/>
          <w:bCs/>
        </w:rPr>
      </w:pPr>
      <w:r>
        <w:rPr>
          <w:rFonts w:asciiTheme="minorHAnsi" w:hAnsiTheme="minorHAnsi" w:eastAsiaTheme="minorEastAsia" w:cstheme="minorBidi"/>
          <w:bCs/>
        </w:rPr>
        <w:t xml:space="preserve">Through very active discussions, lectures, field visits to companies implementing circular practices, and group exercises, participants gained new knowledge and broaden their skills and knowledge in circular economy in construction and packaging sectors. Throughout the two complementary training sessions, 30 participants (17 women) enhanced their knowledge, skills, and capacities in this area. </w:t>
      </w:r>
    </w:p>
    <w:p w:rsidRPr="003D7404" w:rsidR="008F723C" w:rsidP="2236E18A" w:rsidRDefault="2C499A0E" w14:paraId="2B1B36D9" w14:textId="77777777">
      <w:pPr>
        <w:spacing w:before="120"/>
        <w:jc w:val="both"/>
        <w:rPr>
          <w:rFonts w:eastAsia="Times New Roman" w:asciiTheme="minorHAnsi" w:hAnsiTheme="minorHAnsi" w:cstheme="minorBidi"/>
          <w:b/>
          <w:color w:val="2F5496" w:themeColor="accent1" w:themeShade="BF"/>
        </w:rPr>
      </w:pPr>
      <w:r>
        <w:rPr>
          <w:rFonts w:eastAsia="Times New Roman" w:asciiTheme="minorHAnsi" w:hAnsiTheme="minorHAnsi" w:cstheme="minorBidi"/>
          <w:b/>
          <w:color w:val="2F5496" w:themeColor="accent1" w:themeShade="BF"/>
        </w:rPr>
        <w:t>Circular Accelerator</w:t>
      </w:r>
    </w:p>
    <w:p w:rsidRPr="003D7404" w:rsidR="2C499A0E" w:rsidP="003D7404" w:rsidRDefault="0074799F" w14:paraId="4E13FEB2"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One of direct support </w:t>
      </w:r>
      <w:proofErr w:type="spellStart"/>
      <w:r>
        <w:rPr>
          <w:rFonts w:eastAsia="Times New Roman" w:asciiTheme="minorHAnsi" w:hAnsiTheme="minorHAnsi" w:cstheme="minorBidi"/>
          <w:bCs/>
        </w:rPr>
        <w:t>activites</w:t>
      </w:r>
      <w:proofErr w:type="spellEnd"/>
      <w:r>
        <w:rPr>
          <w:rFonts w:eastAsia="Times New Roman" w:asciiTheme="minorHAnsi" w:hAnsiTheme="minorHAnsi" w:cstheme="minorBidi"/>
          <w:bCs/>
        </w:rPr>
        <w:t xml:space="preserve"> to private sector during the Programme implementation was design and implementation of a Circular Accelerator for private sector companies. The aim of this activity was to develop and pilot a hands-on technical support approach to private-sector development, which helps to enhance skills, business models and solutions that are grounded on the circular economy principles. Furthermore, the </w:t>
      </w:r>
      <w:proofErr w:type="spellStart"/>
      <w:r>
        <w:rPr>
          <w:rFonts w:eastAsia="Times New Roman" w:asciiTheme="minorHAnsi" w:hAnsiTheme="minorHAnsi" w:cstheme="minorBidi"/>
          <w:bCs/>
        </w:rPr>
        <w:t>programme</w:t>
      </w:r>
      <w:proofErr w:type="spellEnd"/>
      <w:r>
        <w:rPr>
          <w:rFonts w:eastAsia="Times New Roman" w:asciiTheme="minorHAnsi" w:hAnsiTheme="minorHAnsi" w:cstheme="minorBidi"/>
          <w:bCs/>
        </w:rPr>
        <w:t xml:space="preserve"> aimed to raise awareness of and strengthen capacities of the private sector as well as knowledge and skills in sustainable, green, and circular economy. </w:t>
      </w:r>
    </w:p>
    <w:p w:rsidR="000E14C7" w:rsidP="003D7404" w:rsidRDefault="4A9FBD0B" w14:paraId="4D5F681B" w14:textId="0C4E1B21">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Circular Accelerator supported 10 small and medium-sized enterprises (SMEs) in their circular transition, through technical assistance which included cohort trainings and one-on-one mentoring support, enabling them to move towards new business models, resource efficiency and circular value chains, with final goal to enhance capabilities and know-how of participating SMEs to utilize green transition-linked opportunities specific to their industry. Throughout the duration of the accelerator </w:t>
      </w:r>
      <w:proofErr w:type="spellStart"/>
      <w:r>
        <w:rPr>
          <w:rFonts w:eastAsia="Times New Roman" w:asciiTheme="minorHAnsi" w:hAnsiTheme="minorHAnsi" w:cstheme="minorBidi"/>
          <w:bCs/>
        </w:rPr>
        <w:t>programme</w:t>
      </w:r>
      <w:proofErr w:type="spellEnd"/>
      <w:r>
        <w:rPr>
          <w:rFonts w:eastAsia="Times New Roman" w:asciiTheme="minorHAnsi" w:hAnsiTheme="minorHAnsi" w:cstheme="minorBidi"/>
          <w:bCs/>
        </w:rPr>
        <w:t xml:space="preserve">, companies developed company-specific Circular Economy Transition Plans and support </w:t>
      </w:r>
      <w:r>
        <w:rPr>
          <w:rFonts w:eastAsia="Times New Roman" w:asciiTheme="minorHAnsi" w:hAnsiTheme="minorHAnsi" w:cstheme="minorBidi"/>
          <w:bCs/>
        </w:rPr>
        <w:t xml:space="preserve">toolkit that helps them accelerate their green transition. The Circular Economy Transition Plans incorporate investment plans containing key priority bankable investments to serve as foundation for tapping into available financing streams. </w:t>
      </w:r>
    </w:p>
    <w:p w:rsidRPr="003D7404" w:rsidR="00632F73" w:rsidP="003D7404" w:rsidRDefault="00632F73" w14:paraId="2DC33D5A" w14:textId="77777777">
      <w:pPr>
        <w:spacing w:before="120"/>
        <w:jc w:val="both"/>
        <w:rPr>
          <w:bCs/>
        </w:rPr>
      </w:pPr>
    </w:p>
    <w:tbl>
      <w:tblPr>
        <w:tblpPr w:leftFromText="180" w:rightFromText="180" w:vertAnchor="text" w:horzAnchor="margin" w:tblpY="993"/>
        <w:tblW w:w="0" w:type="auto"/>
        <w:tblLook w:val="04A0" w:firstRow="1" w:lastRow="0" w:firstColumn="1" w:lastColumn="0" w:noHBand="0" w:noVBand="1"/>
      </w:tblPr>
      <w:tblGrid>
        <w:gridCol w:w="10728"/>
      </w:tblGrid>
      <w:tr w:rsidR="00995DB1" w:rsidTr="0016329B" w14:paraId="086A448F" w14:textId="77777777">
        <w:trPr>
          <w:trHeight w:val="408"/>
        </w:trPr>
        <w:tc>
          <w:tcPr>
            <w:tcW w:w="10728" w:type="dxa"/>
            <w:shd w:val="clear" w:color="auto" w:fill="4C9F38"/>
          </w:tcPr>
          <w:p w:rsidRPr="000E14C7" w:rsidR="00995DB1" w:rsidP="0016329B" w:rsidRDefault="00995DB1" w14:paraId="3410ED3E" w14:textId="77777777">
            <w:pPr>
              <w:rPr>
                <w:sz w:val="24"/>
                <w:szCs w:val="24"/>
              </w:rPr>
            </w:pPr>
            <w:r>
              <w:rPr>
                <w:b/>
                <w:color w:val="FFFFFF"/>
                <w:sz w:val="24"/>
                <w:szCs w:val="24"/>
              </w:rPr>
              <w:t>★ IMPACT SPOTLIGHT: GREEN TRANSITION</w:t>
            </w:r>
          </w:p>
        </w:tc>
      </w:tr>
      <w:tr w:rsidR="00995DB1" w:rsidTr="0016329B" w14:paraId="54571965" w14:textId="77777777">
        <w:trPr>
          <w:trHeight w:val="362"/>
        </w:trPr>
        <w:tc>
          <w:tcPr>
            <w:tcW w:w="10728" w:type="dxa"/>
            <w:shd w:val="clear" w:color="auto" w:fill="F2F2F2"/>
          </w:tcPr>
          <w:p w:rsidRPr="000E14C7" w:rsidR="00995DB1" w:rsidP="0016329B" w:rsidRDefault="00995DB1" w14:paraId="6FD4DE0A" w14:textId="77777777">
            <w:pPr>
              <w:rPr>
                <w:sz w:val="24"/>
                <w:szCs w:val="24"/>
              </w:rPr>
            </w:pPr>
            <w:r>
              <w:rPr>
                <w:sz w:val="24"/>
                <w:szCs w:val="24"/>
              </w:rPr>
              <w:t>10 bankable transition plans for SMEs. Focus: circular economy in construction and packaging.</w:t>
            </w:r>
          </w:p>
        </w:tc>
      </w:tr>
    </w:tbl>
    <w:p w:rsidR="17288D98" w:rsidP="003D7404" w:rsidRDefault="17288D98" w14:paraId="66D216F7" w14:textId="423ED68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In total, 31 companies’ representatives (28 women) participated in two trainings and worked on </w:t>
      </w:r>
      <w:r w:rsidR="00C21E0B">
        <w:rPr>
          <w:rFonts w:eastAsia="Times New Roman" w:asciiTheme="minorHAnsi" w:hAnsiTheme="minorHAnsi" w:cstheme="minorBidi"/>
          <w:bCs/>
        </w:rPr>
        <w:t xml:space="preserve">the </w:t>
      </w:r>
      <w:r>
        <w:rPr>
          <w:rFonts w:eastAsia="Times New Roman" w:asciiTheme="minorHAnsi" w:hAnsiTheme="minorHAnsi" w:cstheme="minorBidi"/>
          <w:bCs/>
        </w:rPr>
        <w:t xml:space="preserve">development of 10 company specific Circular Economy Transition Plans. </w:t>
      </w:r>
    </w:p>
    <w:p w:rsidRPr="003E710B" w:rsidR="00D02D08" w:rsidP="1D60ED47" w:rsidRDefault="2780A0CC" w14:paraId="24C80070" w14:textId="77777777">
      <w:pPr>
        <w:pStyle w:val="Heading3"/>
        <w:pBdr>
          <w:bottom w:val="single" w:color="0468B1" w:sz="4" w:space="1"/>
        </w:pBdr>
        <w:spacing w:before="240"/>
        <w:jc w:val="both"/>
        <w:rPr>
          <w:rFonts w:cstheme="majorHAnsi"/>
          <w:b/>
        </w:rPr>
      </w:pPr>
      <w:bookmarkStart w:name="_Toc221887259" w:id="24"/>
      <w:r>
        <w:rPr>
          <w:rFonts w:eastAsia="Calibri" w:cstheme="majorHAnsi"/>
          <w:b/>
          <w:color w:val="0468B1"/>
          <w:sz w:val="26"/>
          <w:lang w:val="en-GB"/>
        </w:rPr>
        <w:t>1.1.4.</w:t>
      </w:r>
      <w:r>
        <w:rPr>
          <w:rFonts w:cstheme="majorHAnsi"/>
          <w:b/>
          <w:color w:val="0468B1"/>
          <w:sz w:val="26"/>
        </w:rPr>
        <w:tab/>
      </w:r>
      <w:r>
        <w:rPr>
          <w:rFonts w:eastAsia="Calibri" w:cstheme="majorHAnsi"/>
          <w:b/>
          <w:color w:val="0468B1"/>
          <w:sz w:val="26"/>
          <w:lang w:val="en-GB"/>
        </w:rPr>
        <w:t>Strengthening capacities of parliaments for SDG-informed decision making and oversight (UNDP)</w:t>
      </w:r>
      <w:bookmarkEnd w:id="24"/>
      <w:r>
        <w:rPr>
          <w:rFonts w:cstheme="majorHAnsi"/>
          <w:b/>
          <w:color w:val="0468B1"/>
          <w:sz w:val="26"/>
        </w:rPr>
        <w:t xml:space="preserve"> </w:t>
      </w:r>
    </w:p>
    <w:p w:rsidRPr="003D7404" w:rsidR="00FC18AF" w:rsidP="003D7404" w:rsidRDefault="00FC18AF" w14:paraId="27C58216" w14:textId="77777777">
      <w:pPr>
        <w:spacing w:before="120"/>
        <w:jc w:val="both"/>
        <w:rPr>
          <w:rFonts w:asciiTheme="minorHAnsi" w:hAnsiTheme="minorHAnsi" w:cstheme="minorBidi"/>
          <w:bCs/>
        </w:rPr>
      </w:pPr>
      <w:r>
        <w:rPr>
          <w:rFonts w:asciiTheme="minorHAnsi" w:hAnsiTheme="minorHAnsi" w:cstheme="minorBidi"/>
          <w:bCs/>
        </w:rPr>
        <w:t>Recognizing the critical role of legislative bodies in achieving the SDGs, parliaments across BiH enhanced their capacities for SDG-informed oversight, policy review, and legislative alignment through targeted engagement.</w:t>
      </w:r>
    </w:p>
    <w:p w:rsidRPr="003D7404" w:rsidR="00FC18AF" w:rsidP="003D7404" w:rsidRDefault="00071A9B" w14:paraId="5F1C3EB6" w14:textId="77777777">
      <w:pPr>
        <w:spacing w:before="120"/>
        <w:jc w:val="both"/>
        <w:rPr>
          <w:rFonts w:asciiTheme="minorHAnsi" w:hAnsiTheme="minorHAnsi" w:cstheme="minorBidi"/>
          <w:bCs/>
        </w:rPr>
      </w:pPr>
      <w:r>
        <w:rPr>
          <w:rFonts w:asciiTheme="minorHAnsi" w:hAnsiTheme="minorHAnsi" w:cstheme="minorBidi"/>
          <w:bCs/>
        </w:rPr>
        <w:t>At the state level, the Parliamentary Assembly (PA) of BiH made significant progress in integrating the SDGs into its institutional framework. With technical and advisory support from the Programme, rulebooks of both houses were amended in 2024 to introduce a formal reference to the SDGs within the oversight and reporting functions of the Joint Commission on Economic Reform and Development. This marked the first institutional mechanism in the country to embed the SDG Framework in BiH directly into parliamentary operations, ensuring that legislative deliberations and committee reviews can systematically take BiH’s sustainable development objectives into account.</w:t>
      </w:r>
    </w:p>
    <w:p w:rsidRPr="003D7404" w:rsidR="00B63DDB" w:rsidP="003D7404" w:rsidRDefault="004E5317" w14:paraId="599EB936" w14:textId="77777777">
      <w:pPr>
        <w:spacing w:before="120"/>
        <w:jc w:val="both"/>
        <w:rPr>
          <w:rFonts w:asciiTheme="minorHAnsi" w:hAnsiTheme="minorHAnsi" w:cstheme="minorBidi"/>
          <w:bCs/>
        </w:rPr>
      </w:pPr>
      <w:r>
        <w:rPr>
          <w:rFonts w:asciiTheme="minorHAnsi" w:hAnsiTheme="minorHAnsi" w:cstheme="minorBidi"/>
          <w:bCs/>
        </w:rPr>
        <w:t>To raise awareness and increase knowledge on the SDG Framework in BiH, as well as to secure buy-in for the amendment, the First Conference on SDGs in the Parliamentary Assembly of BiH was held prior to the rulebook changes being submitted for adoption. The Conference was held under the auspices of the Speaker of the House of Representatives, gathering over 100 participants from all levels of government, academia, civil society, and international organizations. Dr. Jakob Granit, Director General of SIDA, used the opportunity to emphasize the significance of Agenda 2030, highlighting its collective ownership and the need for active participation from various sectors. In line with that, the event served as a platform for dialogue on how parliaments can promote inclusive, transparent, and sustainable governance through implementation of the SDG Framework in BiH. It also reaffirmed the legislature’s role in monitoring government accountability for SDG progress and budgetary implementation. The conference also underlined the complementarity of the SDG Framework in BiH and the EU Reform Agenda for BiH.</w:t>
      </w:r>
    </w:p>
    <w:p w:rsidRPr="003D7404" w:rsidR="00B63DDB" w:rsidP="003D7404" w:rsidRDefault="004E5317" w14:paraId="39343871" w14:textId="77777777">
      <w:pPr>
        <w:spacing w:before="120"/>
        <w:jc w:val="both"/>
        <w:rPr>
          <w:rFonts w:asciiTheme="minorHAnsi" w:hAnsiTheme="minorHAnsi" w:cstheme="minorBidi"/>
          <w:bCs/>
        </w:rPr>
      </w:pPr>
      <w:r>
        <w:rPr>
          <w:rFonts w:asciiTheme="minorHAnsi" w:hAnsiTheme="minorHAnsi" w:cstheme="minorBidi"/>
          <w:bCs/>
        </w:rPr>
        <w:t>After the adoption of the amendment, to support reform operationalization, PA BiH, with support of SDG2BIH and the Inter-Parliamentary Union, organized targeted capacity-building for parliamentary secretaries and members of the Joint Committee on Economic Reforms and Development, focusing on the SDG Framework in BiH and the use of SDG indicators and evidence in legislative analysis. A Guide on Integrating the SDGs into the work of PA BiH was developed and disseminated to provide practical tools for members of parliament.</w:t>
      </w:r>
    </w:p>
    <w:p w:rsidRPr="003D7404" w:rsidR="009B7881" w:rsidP="003D7404" w:rsidRDefault="00EB4454" w14:paraId="23660924" w14:textId="77777777">
      <w:pPr>
        <w:spacing w:before="120"/>
        <w:jc w:val="both"/>
        <w:rPr>
          <w:rFonts w:asciiTheme="minorHAnsi" w:hAnsiTheme="minorHAnsi" w:cstheme="minorBidi"/>
          <w:bCs/>
        </w:rPr>
      </w:pPr>
      <w:r>
        <w:rPr>
          <w:rFonts w:asciiTheme="minorHAnsi" w:hAnsiTheme="minorHAnsi" w:cstheme="minorBidi"/>
          <w:bCs/>
        </w:rPr>
        <w:t>In parallel, the Programme supported Tuzla Canton Assembly in initiating a process to integrate the SDGs into its Rulebook, thus expanding the mandate of the Commission for Economy and Economic and Fiscal Policies to SDGs. The text was reviewed by the SDG2BiH team, the Assembly representatives, and government representatives, and is pending adoption by the Assembly.</w:t>
      </w:r>
      <w:r>
        <w:rPr>
          <w:bCs/>
          <w:noProof/>
        </w:rPr>
        <w:t xml:space="preserve"> </w:t>
      </w:r>
    </w:p>
    <w:p w:rsidRPr="003D7404" w:rsidR="009B7881" w:rsidP="003D7404" w:rsidRDefault="009B7881" w14:paraId="1C796580" w14:textId="77777777">
      <w:pPr>
        <w:spacing w:before="120"/>
        <w:jc w:val="both"/>
        <w:rPr>
          <w:rFonts w:asciiTheme="minorHAnsi" w:hAnsiTheme="minorHAnsi" w:cstheme="minorBidi"/>
          <w:bCs/>
        </w:rPr>
      </w:pPr>
      <w:r>
        <w:rPr>
          <w:rFonts w:asciiTheme="minorHAnsi" w:hAnsiTheme="minorHAnsi" w:cstheme="minorBidi"/>
          <w:bCs/>
        </w:rPr>
        <w:t>Through these interventions, this support helped position parliaments as key actors in promoting accountability, transparency, and long-term policy coherence in BiH’s sustainable development pathway.</w:t>
      </w:r>
    </w:p>
    <w:p w:rsidR="37987347" w:rsidP="00F22B33" w:rsidRDefault="37987347" w14:paraId="7837948C" w14:textId="77777777">
      <w:pPr>
        <w:ind w:firstLine="720"/>
        <w:rPr>
          <w:rFonts w:asciiTheme="minorHAnsi" w:hAnsiTheme="minorHAnsi" w:cstheme="minorBidi"/>
          <w:bCs/>
        </w:rPr>
      </w:pPr>
    </w:p>
    <w:p w:rsidRPr="003D7404" w:rsidR="00327CEB" w:rsidP="00F22B33" w:rsidRDefault="00327CEB" w14:paraId="5A6EC5F9" w14:textId="77777777">
      <w:pPr>
        <w:ind w:firstLine="720"/>
        <w:rPr>
          <w:rFonts w:asciiTheme="minorHAnsi" w:hAnsiTheme="minorHAnsi" w:cstheme="minorBidi"/>
          <w:bCs/>
        </w:rPr>
      </w:pPr>
    </w:p>
    <w:p w:rsidRPr="003E710B" w:rsidR="00D02D08" w:rsidP="295F3196" w:rsidRDefault="51EA6A60" w14:paraId="5BAD8830" w14:textId="77777777">
      <w:pPr>
        <w:pStyle w:val="Heading3"/>
        <w:pBdr>
          <w:bottom w:val="single" w:color="0468B1" w:sz="4" w:space="1"/>
        </w:pBdr>
        <w:spacing w:before="240"/>
        <w:rPr>
          <w:rFonts w:cstheme="majorHAnsi"/>
          <w:b/>
          <w:color w:val="auto"/>
        </w:rPr>
      </w:pPr>
      <w:bookmarkStart w:name="_Toc221887260" w:id="25"/>
      <w:r>
        <w:rPr>
          <w:rFonts w:cstheme="majorHAnsi"/>
          <w:b/>
          <w:color w:val="0468B1"/>
          <w:sz w:val="26"/>
        </w:rPr>
        <w:t>1.1.5. Strengthening state and entity statistical institutions’ capacities for monitoring achievements towards SDG targets</w:t>
      </w:r>
      <w:bookmarkEnd w:id="25"/>
    </w:p>
    <w:p w:rsidRPr="003D7404" w:rsidR="00CB13D7" w:rsidP="003D7404" w:rsidRDefault="00566F43" w14:paraId="2B4E7F57" w14:textId="77777777">
      <w:pPr>
        <w:spacing w:before="120"/>
        <w:jc w:val="both"/>
        <w:rPr>
          <w:rFonts w:eastAsia="Times New Roman" w:asciiTheme="minorHAnsi" w:hAnsiTheme="minorHAnsi" w:cstheme="minorBidi"/>
          <w:bCs/>
          <w:color w:val="2F5496" w:themeColor="accent1" w:themeShade="BF"/>
        </w:rPr>
      </w:pPr>
      <w:r>
        <w:rPr>
          <w:rFonts w:eastAsia="Times New Roman" w:asciiTheme="minorHAnsi" w:hAnsiTheme="minorHAnsi" w:cstheme="minorBidi"/>
          <w:bCs/>
        </w:rPr>
        <w:t xml:space="preserve">Reliable, accessible, and comparable data remain the cornerstone for tracking BiH’s progress towards achieving the SDG’s Throughout the </w:t>
      </w:r>
      <w:proofErr w:type="spellStart"/>
      <w:r>
        <w:rPr>
          <w:rFonts w:eastAsia="Times New Roman" w:asciiTheme="minorHAnsi" w:hAnsiTheme="minorHAnsi" w:cstheme="minorBidi"/>
          <w:bCs/>
        </w:rPr>
        <w:t>Programme’s</w:t>
      </w:r>
      <w:proofErr w:type="spellEnd"/>
      <w:r>
        <w:rPr>
          <w:rFonts w:eastAsia="Times New Roman" w:asciiTheme="minorHAnsi" w:hAnsiTheme="minorHAnsi" w:cstheme="minorBidi"/>
          <w:bCs/>
        </w:rPr>
        <w:t xml:space="preserve"> implementation period, consistent efforts were made to strengthen the institutional and technical capacities of the Agency for Statistics of BiH (BHAS) and BiH DEP to improve the quality, coherence, and timeliness of SDG-related data and reporting.</w:t>
      </w:r>
    </w:p>
    <w:p w:rsidRPr="003D7404" w:rsidR="00CB13D7" w:rsidP="003D7404" w:rsidRDefault="00CB13D7" w14:paraId="7D7807A4"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In 2023, the Programme provided critical technical assistance to BHAS to optimize and modernize its SDG web portal (https://sdg.bhas.gov.ba). The intervention included a comprehensive update of all datasets, restoring the functionality of the platform after a period of under-maintenance, and delivering targeted capacity-building sessions for newly appointed BHAS staff. These activities ensured that the portal became fully operational in both English and the official languages of BiH, supporting harmonized and internationally comparable reporting under the SDG indicator framework. Coordination between BHAS and the SDG Council defined data-sharing protocols and strengthened collaboration with global partners, ensuring that high-quality data were consistently provided for national reports and international submissions.</w:t>
      </w:r>
    </w:p>
    <w:p w:rsidRPr="003D7404" w:rsidR="00DC66DB" w:rsidP="003D7404" w:rsidRDefault="00622879" w14:paraId="00CA1305" w14:textId="77777777">
      <w:pPr>
        <w:spacing w:before="120"/>
        <w:jc w:val="both"/>
        <w:rPr>
          <w:bCs/>
        </w:rPr>
      </w:pPr>
      <w:r>
        <w:rPr>
          <w:rStyle w:val="Strong"/>
          <w:b w:val="0"/>
        </w:rPr>
        <w:t>Complementing these efforts, FZZPR established a comprehensive social indicators database with technical and capacity development support.</w:t>
      </w:r>
      <w:r>
        <w:rPr>
          <w:bCs/>
        </w:rPr>
        <w:t xml:space="preserve"> This database was designed to consolidate socio-economic and demographic data relevant to monitoring progress across various entity-level development priorities. It integrates data from statistical institutions, administrative sources, and specialized surveys into a single, accessible system. The Programme provided both technical expertise and capacity development support to FZZPR staff, ensuring the design of a user-friendly structure and standardization of metadata. The database strengthens the Institute’s analytical functions, enabling regular monitoring of social trends such as poverty, employment, education, health, and inequality, and serves as a key evidence base for preparing strategic documents, including entity development reports and the forthcoming Development Strategy of the Federation of BiH. </w:t>
      </w:r>
      <w:r>
        <w:rPr>
          <w:rFonts w:eastAsia="Times New Roman" w:asciiTheme="minorHAnsi" w:hAnsiTheme="minorHAnsi" w:cstheme="minorBidi"/>
          <w:bCs/>
        </w:rPr>
        <w:t>The platform was designed to ensure easier and faster access for Institute staff, while also enabling public access once the web-based interface is launched online. The online version, which includes Power BI visualizations, will provide interactive dashboards and analytical tools to support evidence-based policymaking and public transparency.</w:t>
      </w:r>
      <w:r>
        <w:rPr>
          <w:bCs/>
        </w:rPr>
        <w:t xml:space="preserve"> </w:t>
      </w:r>
      <w:r>
        <w:rPr>
          <w:rFonts w:eastAsia="Times New Roman" w:asciiTheme="minorHAnsi" w:hAnsiTheme="minorHAnsi" w:cstheme="minorBidi"/>
          <w:bCs/>
        </w:rPr>
        <w:t xml:space="preserve">Through the </w:t>
      </w:r>
      <w:proofErr w:type="spellStart"/>
      <w:r>
        <w:rPr>
          <w:rFonts w:eastAsia="Times New Roman" w:asciiTheme="minorHAnsi" w:hAnsiTheme="minorHAnsi" w:cstheme="minorBidi"/>
          <w:bCs/>
        </w:rPr>
        <w:t>Programme’s</w:t>
      </w:r>
      <w:proofErr w:type="spellEnd"/>
      <w:r>
        <w:rPr>
          <w:rFonts w:eastAsia="Times New Roman" w:asciiTheme="minorHAnsi" w:hAnsiTheme="minorHAnsi" w:cstheme="minorBidi"/>
          <w:bCs/>
        </w:rPr>
        <w:t xml:space="preserve"> support, the FZZPR staff have been trained and fully capacitated to manage, maintain, and update the database independently. The initial phase of the intervention covered 10 key social areas, while FZZPR staff are now equipped to expand the database to encompass additional areas using the established structure and methodology. The database thus serves as a long-term institutional asset that enhances analytical and reporting capacities, supports strategic planning processes, and strengthens the overall evidence base for monitoring the FBiH contribution to the SDGs.</w:t>
      </w:r>
    </w:p>
    <w:p w:rsidRPr="003D7404" w:rsidR="00766B2C" w:rsidP="003D7404" w:rsidRDefault="00CB13D7" w14:paraId="634864C8"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Building on these achievements, in 2024, SDG2BIH supported the revision of SDG indicators reported under the BiH SDG Framework in BiH. The SDG Council, with the </w:t>
      </w:r>
      <w:proofErr w:type="spellStart"/>
      <w:r>
        <w:rPr>
          <w:rFonts w:eastAsia="Times New Roman" w:asciiTheme="minorHAnsi" w:hAnsiTheme="minorHAnsi" w:cstheme="minorBidi"/>
          <w:bCs/>
        </w:rPr>
        <w:t>Programme’s</w:t>
      </w:r>
      <w:proofErr w:type="spellEnd"/>
      <w:r>
        <w:rPr>
          <w:rFonts w:eastAsia="Times New Roman" w:asciiTheme="minorHAnsi" w:hAnsiTheme="minorHAnsi" w:cstheme="minorBidi"/>
          <w:bCs/>
        </w:rPr>
        <w:t xml:space="preserve"> expert and logistical assistance, conducted an extensive review of all existing indicators to align them with country priorities, data availability, and statistical standards. This process resulted in the adoption of a revised list of 74 SDG indicators by the BiH </w:t>
      </w:r>
      <w:proofErr w:type="spellStart"/>
      <w:r>
        <w:rPr>
          <w:rFonts w:eastAsia="Times New Roman" w:asciiTheme="minorHAnsi" w:hAnsiTheme="minorHAnsi" w:cstheme="minorBidi"/>
          <w:bCs/>
        </w:rPr>
        <w:t>CoM</w:t>
      </w:r>
      <w:proofErr w:type="spellEnd"/>
      <w:r>
        <w:rPr>
          <w:rFonts w:eastAsia="Times New Roman" w:asciiTheme="minorHAnsi" w:hAnsiTheme="minorHAnsi" w:cstheme="minorBidi"/>
          <w:bCs/>
        </w:rPr>
        <w:t xml:space="preserve"> in October 2024. </w:t>
      </w:r>
    </w:p>
    <w:p w:rsidRPr="003D7404" w:rsidR="00CB13D7" w:rsidP="003D7404" w:rsidRDefault="00CB13D7" w14:paraId="6B4F2ED0"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The revision also revealed critical data gaps - especially for indicators under SDG 16, related to peace, justice, and strong institutions. Recognizing these gaps, BiH DEP, as chair of the SDG Council, requested UNDP’s support to design and implement a nationwide household survey to generate the necessary data. The survey was designed to measure citizens’ perceptions of safety, integrity, and satisfaction with public services and transport, thereby addressing data deficiencies for the following indicators:</w:t>
      </w:r>
    </w:p>
    <w:p w:rsidRPr="003D7404" w:rsidR="00CB13D7" w:rsidP="003D7404" w:rsidRDefault="00CB13D7" w14:paraId="57C3C4EB" w14:textId="77777777">
      <w:pPr>
        <w:pStyle w:val="ListParagraph"/>
        <w:numPr>
          <w:ilvl w:val="0"/>
          <w:numId w:val="48"/>
        </w:numPr>
      </w:pPr>
      <w:r>
        <w:t xml:space="preserve">16.1.4: Proportion of the population that feels safe walking alone around their area after </w:t>
      </w:r>
      <w:proofErr w:type="gramStart"/>
      <w:r>
        <w:t>dark;</w:t>
      </w:r>
      <w:proofErr w:type="gramEnd"/>
    </w:p>
    <w:p w:rsidRPr="003D7404" w:rsidR="00CB13D7" w:rsidP="003D7404" w:rsidRDefault="00CB13D7" w14:paraId="0C663FD2" w14:textId="77777777">
      <w:pPr>
        <w:pStyle w:val="ListParagraph"/>
        <w:numPr>
          <w:ilvl w:val="0"/>
          <w:numId w:val="48"/>
        </w:numPr>
      </w:pPr>
      <w:r>
        <w:t xml:space="preserve">16.5.1: Proportion of persons who had at least one contact with a public official and who paid or were </w:t>
      </w:r>
      <w:r>
        <w:tab/>
      </w:r>
      <w:r>
        <w:t xml:space="preserve">asked for a bribe during the previous 12 </w:t>
      </w:r>
      <w:proofErr w:type="gramStart"/>
      <w:r>
        <w:t>months;</w:t>
      </w:r>
      <w:proofErr w:type="gramEnd"/>
    </w:p>
    <w:p w:rsidRPr="003D7404" w:rsidR="00CB13D7" w:rsidP="003D7404" w:rsidRDefault="00CB13D7" w14:paraId="49AB039A" w14:textId="77777777">
      <w:pPr>
        <w:pStyle w:val="ListParagraph"/>
        <w:numPr>
          <w:ilvl w:val="0"/>
          <w:numId w:val="48"/>
        </w:numPr>
      </w:pPr>
      <w:r>
        <w:t xml:space="preserve">16.6.2: Proportion of the population satisfied with their last experience with public services (healthcare, </w:t>
      </w:r>
      <w:r>
        <w:tab/>
      </w:r>
      <w:r>
        <w:t>education, and administrative services</w:t>
      </w:r>
      <w:proofErr w:type="gramStart"/>
      <w:r>
        <w:t>);</w:t>
      </w:r>
      <w:proofErr w:type="gramEnd"/>
    </w:p>
    <w:p w:rsidRPr="003D7404" w:rsidR="00CB13D7" w:rsidP="003D7404" w:rsidRDefault="00CB13D7" w14:paraId="40B5FA25"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Given the absence of a specific SDG indicator to measure accessibility and satisfaction with public transport, the SDG Council decided to include additional questions on the availability, efficiency, and inclusivity of transport systems, </w:t>
      </w:r>
      <w:r>
        <w:rPr>
          <w:rFonts w:eastAsia="Times New Roman" w:asciiTheme="minorHAnsi" w:hAnsiTheme="minorHAnsi" w:cstheme="minorBidi"/>
          <w:bCs/>
        </w:rPr>
        <w:t>reflecting citizens’ lived experiences in this domain. The finalized survey, implemented on a representative sample of 2,992 respondents across all administrative levels, produced a rich dataset disaggregated by geography, gender, income, and disability status. Its results were compiled and analyzed in a comprehensive report prepared by the Programme, providing actionable evidence to inform future policy decisions and improve governance accountability.</w:t>
      </w:r>
    </w:p>
    <w:p w:rsidRPr="003D7404" w:rsidR="00CB13D7" w:rsidP="003D7404" w:rsidRDefault="00CB13D7" w14:paraId="204A370F"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Through these consecutive interventions, the Programme not only improved data accessibility and reliability but also significantly enhanced the institutional collaboration between the statistical offices and the SDG Council. These efforts strengthened BiH’s ability to generate evidence-based insights, ensure consistent monitoring of the SDG Framework in BiH, and deliver data-driven policy guidance to support sustainable and inclusive development across the country. </w:t>
      </w:r>
    </w:p>
    <w:tbl>
      <w:tblPr>
        <w:tblpPr w:leftFromText="180" w:rightFromText="180" w:vertAnchor="text" w:horzAnchor="margin" w:tblpY="32"/>
        <w:tblW w:w="0" w:type="auto"/>
        <w:tblLook w:val="04A0" w:firstRow="1" w:lastRow="0" w:firstColumn="1" w:lastColumn="0" w:noHBand="0" w:noVBand="1"/>
      </w:tblPr>
      <w:tblGrid>
        <w:gridCol w:w="3360"/>
        <w:gridCol w:w="3360"/>
        <w:gridCol w:w="3360"/>
      </w:tblGrid>
      <w:tr w:rsidR="00A24A81" w:rsidTr="00A24A81" w14:paraId="45308635" w14:textId="77777777">
        <w:tc>
          <w:tcPr>
            <w:tcW w:w="3360" w:type="dxa"/>
            <w:shd w:val="clear" w:color="auto" w:fill="00689D"/>
          </w:tcPr>
          <w:p w:rsidR="00A24A81" w:rsidP="00A24A81" w:rsidRDefault="00A24A81" w14:paraId="72EDB577" w14:textId="77777777">
            <w:pPr>
              <w:jc w:val="center"/>
            </w:pPr>
            <w:r>
              <w:rPr>
                <w:b/>
                <w:color w:val="FFFFFF"/>
                <w:sz w:val="14"/>
              </w:rPr>
              <w:t>INDICATORS</w:t>
            </w:r>
          </w:p>
        </w:tc>
        <w:tc>
          <w:tcPr>
            <w:tcW w:w="3360" w:type="dxa"/>
            <w:shd w:val="clear" w:color="auto" w:fill="F99D26"/>
          </w:tcPr>
          <w:p w:rsidR="00A24A81" w:rsidP="00A24A81" w:rsidRDefault="00A24A81" w14:paraId="24579589" w14:textId="77777777">
            <w:pPr>
              <w:jc w:val="center"/>
            </w:pPr>
            <w:r>
              <w:rPr>
                <w:b/>
                <w:color w:val="FFFFFF"/>
                <w:sz w:val="14"/>
              </w:rPr>
              <w:t>SURVEY</w:t>
            </w:r>
          </w:p>
        </w:tc>
        <w:tc>
          <w:tcPr>
            <w:tcW w:w="3360" w:type="dxa"/>
            <w:shd w:val="clear" w:color="auto" w:fill="268D49"/>
          </w:tcPr>
          <w:p w:rsidR="00A24A81" w:rsidP="00A24A81" w:rsidRDefault="00A24A81" w14:paraId="4F10739F" w14:textId="77777777">
            <w:pPr>
              <w:jc w:val="center"/>
            </w:pPr>
            <w:r>
              <w:rPr>
                <w:b/>
                <w:color w:val="FFFFFF"/>
                <w:sz w:val="14"/>
              </w:rPr>
              <w:t>SOCIAL AREAS</w:t>
            </w:r>
          </w:p>
        </w:tc>
      </w:tr>
      <w:tr w:rsidR="00A24A81" w:rsidTr="00A24A81" w14:paraId="01B32A24" w14:textId="77777777">
        <w:tc>
          <w:tcPr>
            <w:tcW w:w="3360" w:type="dxa"/>
            <w:shd w:val="clear" w:color="auto" w:fill="F9F9F9"/>
          </w:tcPr>
          <w:p w:rsidR="00A24A81" w:rsidP="00A24A81" w:rsidRDefault="00A24A81" w14:paraId="71998B39" w14:textId="77777777">
            <w:pPr>
              <w:jc w:val="center"/>
            </w:pPr>
            <w:r>
              <w:rPr>
                <w:b/>
                <w:sz w:val="24"/>
              </w:rPr>
              <w:t>74 REVISED</w:t>
            </w:r>
          </w:p>
        </w:tc>
        <w:tc>
          <w:tcPr>
            <w:tcW w:w="3360" w:type="dxa"/>
            <w:shd w:val="clear" w:color="auto" w:fill="F9F9F9"/>
          </w:tcPr>
          <w:p w:rsidR="00A24A81" w:rsidP="00A24A81" w:rsidRDefault="00A24A81" w14:paraId="2A7F0018" w14:textId="77777777">
            <w:pPr>
              <w:jc w:val="center"/>
            </w:pPr>
            <w:r>
              <w:rPr>
                <w:b/>
                <w:sz w:val="24"/>
              </w:rPr>
              <w:t>2,992 HH</w:t>
            </w:r>
          </w:p>
        </w:tc>
        <w:tc>
          <w:tcPr>
            <w:tcW w:w="3360" w:type="dxa"/>
            <w:shd w:val="clear" w:color="auto" w:fill="F9F9F9"/>
          </w:tcPr>
          <w:p w:rsidR="00A24A81" w:rsidP="00A24A81" w:rsidRDefault="00A24A81" w14:paraId="65337242" w14:textId="77777777">
            <w:pPr>
              <w:jc w:val="center"/>
            </w:pPr>
            <w:r>
              <w:rPr>
                <w:b/>
                <w:sz w:val="24"/>
              </w:rPr>
              <w:t>10</w:t>
            </w:r>
          </w:p>
        </w:tc>
      </w:tr>
    </w:tbl>
    <w:p w:rsidRPr="003D7404" w:rsidR="0069284D" w:rsidP="00D02D08" w:rsidRDefault="0069284D" w14:paraId="5A2EF737" w14:textId="77777777">
      <w:pPr>
        <w:spacing w:line="259" w:lineRule="auto"/>
        <w:rPr>
          <w:rFonts w:eastAsia="Times New Roman" w:asciiTheme="minorHAnsi" w:hAnsiTheme="minorHAnsi" w:cstheme="minorBidi"/>
          <w:bCs/>
          <w:spacing w:val="-2"/>
        </w:rPr>
      </w:pPr>
    </w:p>
    <w:p w:rsidRPr="003E710B" w:rsidR="003D7404" w:rsidP="00CF6E26" w:rsidRDefault="51EA6A60" w14:paraId="449D1076" w14:textId="686E855F">
      <w:pPr>
        <w:pStyle w:val="Heading2"/>
        <w:pBdr>
          <w:bottom w:val="single" w:color="0468B1" w:sz="6" w:space="1"/>
        </w:pBdr>
        <w:spacing w:before="240"/>
        <w:jc w:val="both"/>
        <w:rPr>
          <w:rFonts w:asciiTheme="minorHAnsi" w:hAnsiTheme="minorHAnsi" w:cstheme="minorBidi"/>
          <w:b/>
          <w:color w:val="0468B1"/>
          <w:sz w:val="28"/>
        </w:rPr>
      </w:pPr>
      <w:bookmarkStart w:name="_Toc221887261" w:id="26"/>
      <w:r>
        <w:rPr>
          <w:rFonts w:asciiTheme="minorHAnsi" w:hAnsiTheme="minorHAnsi" w:cstheme="minorBidi"/>
          <w:b/>
          <w:color w:val="0468B1"/>
          <w:sz w:val="28"/>
        </w:rPr>
        <w:t>Output 1.2</w:t>
      </w:r>
      <w:bookmarkEnd w:id="26"/>
    </w:p>
    <w:p w:rsidRPr="003D7404" w:rsidR="00D02D08" w:rsidP="003D7404" w:rsidRDefault="51EA6A60" w14:paraId="56CEDEBB" w14:textId="46FF20E0">
      <w:pPr>
        <w:rPr>
          <w:b/>
          <w:bCs/>
        </w:rPr>
      </w:pPr>
      <w:r>
        <w:rPr>
          <w:b/>
          <w:bCs/>
        </w:rPr>
        <w:t>Public financing instruments at the entity and/or cantonal level sustainably reinforce the achievement of the SDGs in selected priority areas, including through partnerships with the private sector</w:t>
      </w:r>
    </w:p>
    <w:p w:rsidR="003E710B" w:rsidP="003D7404" w:rsidRDefault="003E710B" w14:paraId="47354B93" w14:textId="77777777">
      <w:pPr>
        <w:spacing w:before="120"/>
        <w:jc w:val="both"/>
        <w:rPr>
          <w:rFonts w:eastAsia="Times New Roman" w:asciiTheme="minorHAnsi" w:hAnsiTheme="minorHAnsi" w:cstheme="minorBidi"/>
          <w:bCs/>
        </w:rPr>
      </w:pPr>
    </w:p>
    <w:p w:rsidRPr="003D7404" w:rsidR="007B6542" w:rsidP="003D7404" w:rsidRDefault="00B7025C" w14:paraId="59439F66" w14:textId="729B3460">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Implementation of Output 1.2 built on </w:t>
      </w:r>
      <w:proofErr w:type="gramStart"/>
      <w:r>
        <w:rPr>
          <w:rFonts w:eastAsia="Times New Roman" w:asciiTheme="minorHAnsi" w:hAnsiTheme="minorHAnsi" w:cstheme="minorBidi"/>
          <w:bCs/>
        </w:rPr>
        <w:t xml:space="preserve">the </w:t>
      </w:r>
      <w:r>
        <w:rPr>
          <w:rFonts w:asciiTheme="minorHAnsi" w:hAnsiTheme="minorHAnsi" w:cstheme="minorBidi"/>
          <w:bCs/>
        </w:rPr>
        <w:t xml:space="preserve"> initiative</w:t>
      </w:r>
      <w:proofErr w:type="gramEnd"/>
      <w:r>
        <w:rPr>
          <w:rFonts w:asciiTheme="minorHAnsi" w:hAnsiTheme="minorHAnsi" w:cstheme="minorBidi"/>
          <w:bCs/>
        </w:rPr>
        <w:t xml:space="preserve"> </w:t>
      </w:r>
      <w:r>
        <w:rPr>
          <w:rFonts w:eastAsia="Times New Roman" w:asciiTheme="minorHAnsi" w:hAnsiTheme="minorHAnsi" w:cstheme="minorBidi"/>
          <w:bCs/>
        </w:rPr>
        <w:t>“Towards the SDG Financing Ecosystem in BiH” under which the key result was the formal adoption of the SDG Financing Framework in BiH</w:t>
      </w:r>
      <w:r>
        <w:rPr>
          <w:rFonts w:asciiTheme="minorHAnsi" w:hAnsiTheme="minorHAnsi" w:cstheme="minorBidi"/>
          <w:bCs/>
        </w:rPr>
        <w:t xml:space="preserve"> by the </w:t>
      </w:r>
      <w:proofErr w:type="spellStart"/>
      <w:r>
        <w:rPr>
          <w:rFonts w:asciiTheme="minorHAnsi" w:hAnsiTheme="minorHAnsi" w:cstheme="minorBidi"/>
          <w:bCs/>
        </w:rPr>
        <w:t>CoM</w:t>
      </w:r>
      <w:proofErr w:type="spellEnd"/>
      <w:r>
        <w:rPr>
          <w:rFonts w:asciiTheme="minorHAnsi" w:hAnsiTheme="minorHAnsi" w:cstheme="minorBidi"/>
          <w:bCs/>
        </w:rPr>
        <w:t xml:space="preserve"> in June 2024, after its adoption by the governments of RS and FBiH, the BD BiH Government.</w:t>
      </w:r>
    </w:p>
    <w:p w:rsidRPr="003D7404" w:rsidR="007B6542" w:rsidP="003D7404" w:rsidRDefault="007B6542" w14:paraId="1246E260"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The SDG Financing Framework in BiH, formally adopted by all levels of government in June 2024, defines concrete financial policies and instruments to accelerate SDG achievement in priority areas. Implementation focused on operationalizing key financing instruments for sustainable development.</w:t>
      </w:r>
    </w:p>
    <w:p w:rsidRPr="003D7404" w:rsidR="005B1647" w:rsidP="003D7404" w:rsidRDefault="004D40EB" w14:paraId="446739F1" w14:textId="77777777">
      <w:pPr>
        <w:spacing w:before="120"/>
        <w:jc w:val="both"/>
        <w:rPr>
          <w:rFonts w:eastAsia="Times New Roman" w:asciiTheme="minorHAnsi" w:hAnsiTheme="minorHAnsi" w:cstheme="minorBidi"/>
          <w:bCs/>
        </w:rPr>
      </w:pPr>
      <w:r>
        <w:rPr>
          <w:rFonts w:eastAsia="Calibri"/>
          <w:bCs/>
        </w:rPr>
        <w:t xml:space="preserve">An inter-governmental working group provided targeted technical assistance to entity governments in 2024-2025, preparing feasibility studies for two key financial instruments: the Strategic Investment Fund (SIF) and SDG Bonds.  </w:t>
      </w:r>
      <w:r>
        <w:rPr>
          <w:bCs/>
        </w:rPr>
        <w:t xml:space="preserve"> </w:t>
      </w:r>
      <w:r>
        <w:rPr>
          <w:rFonts w:eastAsia="Calibri"/>
          <w:bCs/>
        </w:rPr>
        <w:t>The process was led by the working group, engaging formally appointed representatives from ministries of finance, advisors to prime ministers, line ministries, the FBiH Development Programming Institute, and the RS Investment and Development Bank. The working group developed the proposed approach and Terms of References (</w:t>
      </w:r>
      <w:proofErr w:type="spellStart"/>
      <w:r>
        <w:rPr>
          <w:rFonts w:eastAsia="Calibri"/>
          <w:bCs/>
        </w:rPr>
        <w:t>ToRs</w:t>
      </w:r>
      <w:proofErr w:type="spellEnd"/>
      <w:r>
        <w:rPr>
          <w:rFonts w:eastAsia="Calibri"/>
          <w:bCs/>
        </w:rPr>
        <w:t>) for conducting the studies in line with internationally recognized methodologies. Consulting service providers were commissioned in late 2024/early 2025 to carry out the studies, which were finalized in the second half of 2025 and approved by the inter-governmental working group. The completed studies were submitted to entity governments for decision-making. Both studies offer feasible, context-specific solutions and technical guidance for introducing SDG-aligned financial instruments that support development financing in priority sectors.</w:t>
      </w:r>
    </w:p>
    <w:p w:rsidRPr="003D7404" w:rsidR="005943BC" w:rsidP="003D7404" w:rsidRDefault="002D1346" w14:paraId="4726ADD0"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In parallel, this process also enhanced capacity within entity and cantonal governments to design, adjust, and implement financing instruments that align with SDG priorities such as circular/green economy, digitalization of services/products, and SDG localization. Commitments from entity governments will be secured for co-financing and ensuring the sustainability of financing instruments, while fostering partnerships with international and domestic financing institutions and private sector actors to mobilize resources and scale solutions effectively.</w:t>
      </w:r>
    </w:p>
    <w:p w:rsidRPr="003D7404" w:rsidR="00335748" w:rsidP="003D7404" w:rsidRDefault="00D47A6B" w14:paraId="31E6E78B" w14:textId="77777777">
      <w:pPr>
        <w:spacing w:before="120"/>
        <w:jc w:val="both"/>
        <w:textAlignment w:val="baseline"/>
        <w:rPr>
          <w:rFonts w:eastAsia="Calibri"/>
          <w:bCs/>
        </w:rPr>
      </w:pPr>
      <w:r>
        <w:rPr>
          <w:rFonts w:eastAsia="Calibri"/>
          <w:bCs/>
        </w:rPr>
        <w:t xml:space="preserve">Technical and financial support enabled BiH subnational governments to enhance their capacity for introducing innovative financial mechanisms aimed at (i) local level governments digitalization; (ii) green transition and circular economy, and (iii) research &amp; development through joint efforts combining government, academy, and private sector. These initiatives are aligned with the key SDGs priority </w:t>
      </w:r>
      <w:proofErr w:type="gramStart"/>
      <w:r>
        <w:rPr>
          <w:rFonts w:eastAsia="Calibri"/>
          <w:bCs/>
        </w:rPr>
        <w:t>areas, and</w:t>
      </w:r>
      <w:proofErr w:type="gramEnd"/>
      <w:r>
        <w:rPr>
          <w:rFonts w:eastAsia="Calibri"/>
          <w:bCs/>
        </w:rPr>
        <w:t xml:space="preserve"> aiming to contribute to the accelerated achievement of the SDGs.</w:t>
      </w:r>
    </w:p>
    <w:p w:rsidRPr="003D7404" w:rsidR="00B94F27" w:rsidP="003D7404" w:rsidRDefault="00B94F27" w14:paraId="024D9751" w14:textId="77777777">
      <w:pPr>
        <w:pStyle w:val="paragraph"/>
        <w:spacing w:before="120" w:beforeAutospacing="0" w:after="120" w:afterAutospacing="0"/>
        <w:jc w:val="both"/>
        <w:textAlignment w:val="baseline"/>
        <w:rPr>
          <w:rStyle w:val="eop"/>
          <w:rFonts w:ascii="Calibri" w:hAnsi="Calibri" w:cs="Calibri"/>
          <w:bCs/>
          <w:sz w:val="22"/>
          <w:szCs w:val="22"/>
        </w:rPr>
      </w:pPr>
      <w:r>
        <w:rPr>
          <w:rStyle w:val="eop"/>
          <w:rFonts w:ascii="Calibri" w:hAnsi="Calibri" w:cs="Calibri"/>
          <w:bCs/>
          <w:sz w:val="22"/>
          <w:szCs w:val="22"/>
        </w:rPr>
        <w:t xml:space="preserve">In this field of intervention, the primary objective of the Programme was to incentivize and support relevant government institutions to introduce new and innovative financial mechanisms that support SDG priority areas. For this to be achieved, the Programme supported target governments with the “know how” through digital and other solutions (already tested through earlier UNDP BiH interventions). Using this approach, the Programme supported government institutions to plan, initiate and provide targeted, concentrated, and transparent support to end beneficiaries. </w:t>
      </w:r>
    </w:p>
    <w:p w:rsidRPr="003D7404" w:rsidR="00C066EA" w:rsidP="003D7404" w:rsidRDefault="00C066EA" w14:paraId="75B2AD67" w14:textId="478480CB">
      <w:pPr>
        <w:pStyle w:val="paragraph"/>
        <w:spacing w:before="120" w:beforeAutospacing="0" w:after="120" w:afterAutospacing="0"/>
        <w:jc w:val="both"/>
        <w:textAlignment w:val="baseline"/>
        <w:rPr>
          <w:rStyle w:val="eop"/>
          <w:rFonts w:ascii="Calibri" w:hAnsi="Calibri" w:cs="Calibri"/>
          <w:bCs/>
          <w:sz w:val="22"/>
          <w:szCs w:val="22"/>
        </w:rPr>
      </w:pPr>
      <w:r>
        <w:rPr>
          <w:rStyle w:val="eop"/>
          <w:rFonts w:ascii="Calibri" w:hAnsi="Calibri" w:cs="Calibri"/>
          <w:bCs/>
          <w:sz w:val="22"/>
          <w:szCs w:val="22"/>
        </w:rPr>
        <w:t xml:space="preserve">The </w:t>
      </w:r>
      <w:proofErr w:type="spellStart"/>
      <w:r>
        <w:rPr>
          <w:rStyle w:val="eop"/>
          <w:rFonts w:ascii="Calibri" w:hAnsi="Calibri" w:cs="Calibri"/>
          <w:bCs/>
          <w:sz w:val="22"/>
          <w:szCs w:val="22"/>
        </w:rPr>
        <w:t>Programme’s</w:t>
      </w:r>
      <w:proofErr w:type="spellEnd"/>
      <w:r>
        <w:rPr>
          <w:rStyle w:val="eop"/>
          <w:rFonts w:ascii="Calibri" w:hAnsi="Calibri" w:cs="Calibri"/>
          <w:bCs/>
          <w:sz w:val="22"/>
          <w:szCs w:val="22"/>
        </w:rPr>
        <w:t xml:space="preserve"> institutional partners for this </w:t>
      </w:r>
      <w:proofErr w:type="gramStart"/>
      <w:r>
        <w:rPr>
          <w:rStyle w:val="eop"/>
          <w:rFonts w:ascii="Calibri" w:hAnsi="Calibri" w:cs="Calibri"/>
          <w:bCs/>
          <w:sz w:val="22"/>
          <w:szCs w:val="22"/>
        </w:rPr>
        <w:t>component,  in</w:t>
      </w:r>
      <w:proofErr w:type="gramEnd"/>
      <w:r>
        <w:rPr>
          <w:rStyle w:val="eop"/>
          <w:rFonts w:ascii="Calibri" w:hAnsi="Calibri" w:cs="Calibri"/>
          <w:bCs/>
          <w:sz w:val="22"/>
          <w:szCs w:val="22"/>
        </w:rPr>
        <w:t xml:space="preserve"> the area of LG digitalization, are Agency for Information Communication Technologies of RS and the Federal Ministry of Justice in the FBiH. For green transition and circular economy, the Federal Ministry of Development, Entrepreneurship, and Crafts (FMRPO) is the main partner. In the area of research and development, collaboration was anchored with the Federal Ministry of Education and Science.</w:t>
      </w:r>
    </w:p>
    <w:p w:rsidRPr="003D7404" w:rsidR="00C066EA" w:rsidP="003D7404" w:rsidRDefault="00C066EA" w14:paraId="62B3445A" w14:textId="77777777">
      <w:pPr>
        <w:pStyle w:val="paragraph"/>
        <w:spacing w:before="120" w:beforeAutospacing="0" w:after="120" w:afterAutospacing="0"/>
        <w:jc w:val="both"/>
        <w:textAlignment w:val="baseline"/>
        <w:rPr>
          <w:rStyle w:val="eop"/>
          <w:rFonts w:ascii="Calibri" w:hAnsi="Calibri" w:cs="Calibri"/>
          <w:bCs/>
          <w:sz w:val="22"/>
          <w:szCs w:val="22"/>
        </w:rPr>
      </w:pPr>
      <w:r>
        <w:rPr>
          <w:rStyle w:val="eop"/>
          <w:rFonts w:ascii="Calibri" w:hAnsi="Calibri" w:cs="Calibri"/>
          <w:bCs/>
          <w:sz w:val="22"/>
          <w:szCs w:val="22"/>
        </w:rPr>
        <w:t>The table below provides a summary of the pilot financial mechanisms supported by the Programme.</w:t>
      </w:r>
    </w:p>
    <w:p w:rsidRPr="003D7404" w:rsidR="00C066EA" w:rsidP="00B94F27" w:rsidRDefault="00C066EA" w14:paraId="12520BE3" w14:textId="77777777">
      <w:pPr>
        <w:pStyle w:val="paragraph"/>
        <w:spacing w:before="0" w:beforeAutospacing="0" w:after="0" w:afterAutospacing="0"/>
        <w:jc w:val="both"/>
        <w:textAlignment w:val="baseline"/>
        <w:rPr>
          <w:rStyle w:val="eop"/>
          <w:rFonts w:ascii="Calibri" w:hAnsi="Calibri" w:cs="Calibri"/>
          <w:bCs/>
          <w:sz w:val="22"/>
          <w:szCs w:val="22"/>
        </w:rPr>
      </w:pPr>
    </w:p>
    <w:p w:rsidRPr="003D7404" w:rsidR="00115A92" w:rsidP="00F570EE" w:rsidRDefault="00115A92" w14:paraId="709EB91C" w14:textId="77777777">
      <w:pPr>
        <w:pStyle w:val="paragraph"/>
        <w:spacing w:before="0" w:beforeAutospacing="0" w:after="0" w:afterAutospacing="0"/>
        <w:jc w:val="both"/>
        <w:textAlignment w:val="baseline"/>
        <w:rPr>
          <w:rStyle w:val="eop"/>
          <w:rFonts w:ascii="Calibri" w:hAnsi="Calibri" w:cs="Calibri"/>
          <w:bCs/>
          <w:sz w:val="22"/>
          <w:szCs w:val="22"/>
        </w:rPr>
      </w:pPr>
    </w:p>
    <w:p w:rsidRPr="003D7404" w:rsidR="00F82685" w:rsidP="00F570EE" w:rsidRDefault="007274B8" w14:paraId="1430697A" w14:textId="249B960A">
      <w:pPr>
        <w:pStyle w:val="paragraph"/>
        <w:spacing w:before="0" w:beforeAutospacing="0" w:after="0" w:afterAutospacing="0"/>
        <w:jc w:val="both"/>
        <w:textAlignment w:val="baseline"/>
        <w:rPr>
          <w:rStyle w:val="eop"/>
          <w:rFonts w:ascii="Calibri" w:hAnsi="Calibri" w:cs="Calibri"/>
          <w:bCs/>
          <w:sz w:val="22"/>
          <w:szCs w:val="22"/>
        </w:rPr>
      </w:pPr>
      <w:r>
        <w:rPr>
          <w:bCs/>
          <w:noProof/>
        </w:rPr>
        <mc:AlternateContent>
          <mc:Choice Requires="wpg">
            <w:drawing>
              <wp:inline distT="0" distB="0" distL="114300" distR="114300" wp14:anchorId="7FD7CC01" wp14:editId="12A10C47">
                <wp:extent cx="6400800" cy="4027170"/>
                <wp:effectExtent l="0" t="0" r="19050" b="11430"/>
                <wp:docPr id="27" name="Group 27"/>
                <wp:cNvGraphicFramePr/>
                <a:graphic xmlns:a="http://schemas.openxmlformats.org/drawingml/2006/main">
                  <a:graphicData uri="http://schemas.microsoft.com/office/word/2010/wordprocessingGroup">
                    <wpg:wgp>
                      <wpg:cNvGrpSpPr/>
                      <wpg:grpSpPr>
                        <a:xfrm>
                          <a:off x="0" y="0"/>
                          <a:ext cx="6400800" cy="4027170"/>
                          <a:chOff x="-116441" y="-33850"/>
                          <a:chExt cx="5984853" cy="4323313"/>
                        </a:xfrm>
                      </wpg:grpSpPr>
                      <wps:wsp>
                        <wps:cNvPr id="28" name="Text Box 2"/>
                        <wps:cNvSpPr txBox="1">
                          <a:spLocks noChangeArrowheads="1"/>
                        </wps:cNvSpPr>
                        <wps:spPr bwMode="auto">
                          <a:xfrm>
                            <a:off x="3113480" y="69084"/>
                            <a:ext cx="2754903" cy="279426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Pr="00FD648D" w:rsidR="007274B8" w:rsidP="007274B8" w:rsidRDefault="007274B8" w14:paraId="68DCF0B7" w14:textId="6C7568E8">
                              <w:pPr>
                                <w:shd w:val="clear" w:color="auto" w:fill="FFF2CC" w:themeFill="accent4" w:themeFillTint="33"/>
                                <w:ind w:firstLine="64"/>
                                <w:jc w:val="both"/>
                                <w:rPr>
                                  <w:i/>
                                  <w:iCs/>
                                  <w:sz w:val="21"/>
                                  <w:szCs w:val="21"/>
                                </w:rPr>
                              </w:pPr>
                              <w:r>
                                <w:rPr>
                                  <w:rFonts w:ascii="Wingdings" w:hAnsi="Wingdings" w:eastAsia="Wingdings" w:cs="Wingdings"/>
                                  <w:color w:val="2E74B5" w:themeColor="accent5" w:themeShade="BF"/>
                                  <w:sz w:val="18"/>
                                  <w:szCs w:val="18"/>
                                </w:rPr>
                                <w:t>è</w:t>
                              </w:r>
                              <w:r>
                                <w:rPr>
                                  <w:i/>
                                  <w:iCs/>
                                  <w:sz w:val="20"/>
                                  <w:szCs w:val="20"/>
                                </w:rPr>
                                <w:t>The Programme’s support to piloting of a “</w:t>
                              </w:r>
                              <w:r>
                                <w:rPr>
                                  <w:b/>
                                  <w:bCs/>
                                  <w:i/>
                                  <w:iCs/>
                                  <w:sz w:val="20"/>
                                  <w:szCs w:val="20"/>
                                </w:rPr>
                                <w:t>Digital transition scheme for digitalization of LG services</w:t>
                              </w:r>
                              <w:r>
                                <w:rPr>
                                  <w:i/>
                                  <w:iCs/>
                                  <w:sz w:val="20"/>
                                  <w:szCs w:val="20"/>
                                </w:rPr>
                                <w:t>” at the entity level  serves as a “proof of concept” in terms of (i) local governments’ ability to adopt new digital solutions to enhance their openness, transparency, and effective service delivery through applied package of e-services; (ii) the government institution’s ability to host a digital transformation scheme  (in regard to identifying target local governments, conducting rapid e-readiness assessments, coordinating technical assistance to eligible local governments to establish e-services, and monitoring and reporting). In line with SDG FF, it will set up a systemic platform for further scale-up of e-services that local governments provide to citizens and local businesses.</w:t>
                              </w:r>
                            </w:p>
                          </w:txbxContent>
                        </wps:txbx>
                        <wps:bodyPr rot="0" vert="horz" wrap="square" lIns="91440" tIns="45720" rIns="91440" bIns="45720" anchor="t" anchorCtr="0">
                          <a:noAutofit/>
                        </wps:bodyPr>
                      </wps:wsp>
                      <wps:wsp>
                        <wps:cNvPr id="37" name="Text Box 2"/>
                        <wps:cNvSpPr txBox="1">
                          <a:spLocks noChangeArrowheads="1"/>
                        </wps:cNvSpPr>
                        <wps:spPr bwMode="auto">
                          <a:xfrm>
                            <a:off x="-85948" y="69069"/>
                            <a:ext cx="3151929" cy="2786001"/>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Pr="00FD648D" w:rsidR="007274B8" w:rsidP="007274B8" w:rsidRDefault="007274B8" w14:paraId="792272CA" w14:textId="77777777">
                              <w:pPr>
                                <w:shd w:val="clear" w:color="auto" w:fill="FFF2CC" w:themeFill="accent4" w:themeFillTint="33"/>
                                <w:ind w:firstLine="144"/>
                                <w:jc w:val="both"/>
                                <w:rPr>
                                  <w:i/>
                                  <w:iCs/>
                                  <w:sz w:val="21"/>
                                  <w:szCs w:val="21"/>
                                </w:rPr>
                              </w:pPr>
                              <w:r>
                                <w:rPr>
                                  <w:rFonts w:ascii="Wingdings" w:hAnsi="Wingdings" w:eastAsia="Wingdings" w:cs="Wingdings"/>
                                  <w:color w:val="2E74B5" w:themeColor="accent5" w:themeShade="BF"/>
                                  <w:sz w:val="18"/>
                                  <w:szCs w:val="18"/>
                                </w:rPr>
                                <w:t>è</w:t>
                              </w:r>
                              <w:r>
                                <w:rPr>
                                  <w:i/>
                                  <w:iCs/>
                                  <w:sz w:val="21"/>
                                  <w:szCs w:val="21"/>
                                </w:rPr>
                                <w:t xml:space="preserve">The </w:t>
                              </w:r>
                              <w:r>
                                <w:rPr>
                                  <w:i/>
                                  <w:iCs/>
                                  <w:sz w:val="21"/>
                                  <w:szCs w:val="21"/>
                                </w:rPr>
                                <w:t>Programme’s support to the development of “</w:t>
                              </w:r>
                              <w:r>
                                <w:rPr>
                                  <w:b/>
                                  <w:bCs/>
                                  <w:i/>
                                  <w:iCs/>
                                  <w:sz w:val="21"/>
                                  <w:szCs w:val="21"/>
                                </w:rPr>
                                <w:t xml:space="preserve">Grant Scheme for Strengthening the competitiveness of SMEs” </w:t>
                              </w:r>
                              <w:r>
                                <w:rPr>
                                  <w:i/>
                                  <w:iCs/>
                                  <w:sz w:val="21"/>
                                  <w:szCs w:val="21"/>
                                </w:rPr>
                                <w:t>in FBiH is a strategic opportunity &amp; tool for embedding a systemic “know-how” into developing a complex government grant scheme that offers incentives for green transition and circular economy. Furthermore, it envisages the support to the government partners for digitalization of grants scheme management; It explores the possibilities for collaboration and partnerships for sustainable financing of SMEs development initiatives. Lastly, demonstrating the FBiH experience may encourage other government levels to utilize the same approach &amp; solutions while developing similar financial mechanisms for supporting green transition and circular economy in the coming years.</w:t>
                              </w:r>
                            </w:p>
                          </w:txbxContent>
                        </wps:txbx>
                        <wps:bodyPr rot="0" vert="horz" wrap="square" lIns="91440" tIns="45720" rIns="91440" bIns="45720" anchor="t" anchorCtr="0">
                          <a:noAutofit/>
                        </wps:bodyPr>
                      </wps:wsp>
                      <pic:pic xmlns:pic="http://schemas.openxmlformats.org/drawingml/2006/picture">
                        <pic:nvPicPr>
                          <pic:cNvPr id="38"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16441" y="-33850"/>
                            <a:ext cx="278435" cy="278436"/>
                          </a:xfrm>
                          <a:prstGeom prst="rect">
                            <a:avLst/>
                          </a:prstGeom>
                        </pic:spPr>
                      </pic:pic>
                      <wps:wsp>
                        <wps:cNvPr id="39" name="Text Box 2"/>
                        <wps:cNvSpPr txBox="1">
                          <a:spLocks noChangeArrowheads="1"/>
                        </wps:cNvSpPr>
                        <wps:spPr bwMode="auto">
                          <a:xfrm>
                            <a:off x="-85949" y="2915158"/>
                            <a:ext cx="5954361" cy="137430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Pr="00FD648D" w:rsidR="007274B8" w:rsidP="007274B8" w:rsidRDefault="007274B8" w14:paraId="7D9127C5" w14:textId="77777777">
                              <w:pPr>
                                <w:shd w:val="clear" w:color="auto" w:fill="FFF2CC" w:themeFill="accent4" w:themeFillTint="33"/>
                                <w:ind w:firstLine="144"/>
                                <w:jc w:val="both"/>
                                <w:rPr>
                                  <w:i/>
                                  <w:iCs/>
                                  <w:sz w:val="21"/>
                                  <w:szCs w:val="21"/>
                                </w:rPr>
                              </w:pPr>
                              <w:r>
                                <w:rPr>
                                  <w:rFonts w:ascii="Wingdings" w:hAnsi="Wingdings" w:eastAsia="Wingdings" w:cs="Wingdings"/>
                                  <w:color w:val="2E74B5" w:themeColor="accent5" w:themeShade="BF"/>
                                  <w:sz w:val="18"/>
                                  <w:szCs w:val="18"/>
                                </w:rPr>
                                <w:t xml:space="preserve"> è</w:t>
                              </w:r>
                              <w:r>
                                <w:rPr>
                                  <w:i/>
                                  <w:iCs/>
                                  <w:sz w:val="21"/>
                                  <w:szCs w:val="21"/>
                                </w:rPr>
                                <w:t xml:space="preserve">The </w:t>
                              </w:r>
                              <w:r>
                                <w:rPr>
                                  <w:i/>
                                  <w:iCs/>
                                  <w:sz w:val="21"/>
                                  <w:szCs w:val="21"/>
                                </w:rPr>
                                <w:t>Programme’s support to the development of “</w:t>
                              </w:r>
                              <w:r>
                                <w:rPr>
                                  <w:b/>
                                  <w:bCs/>
                                  <w:i/>
                                  <w:iCs/>
                                  <w:sz w:val="21"/>
                                  <w:szCs w:val="21"/>
                                </w:rPr>
                                <w:t xml:space="preserve">Joint Research &amp; Development Grant scheme” </w:t>
                              </w:r>
                              <w:r>
                                <w:rPr>
                                  <w:i/>
                                  <w:iCs/>
                                  <w:sz w:val="21"/>
                                  <w:szCs w:val="21"/>
                                </w:rPr>
                                <w:t xml:space="preserve">is a unique opportunity to support the R&amp;D in FBiH through joint efforts by the government, academia, and private sector. It has two-fold, long term objectives: (i) to support the government partner in developing a financial mechanism for a concentrated, targeted, and transparent distribution of grants to support R&amp;D projects; (ii) to utilize the pilot phase to develop a methodological approach that allows for a quick and effective replication in the future. Additionally, the pilot phase will be utilized to explore and call for possible partnerships for crowding-in external financial resources. </w:t>
                              </w:r>
                            </w:p>
                          </w:txbxContent>
                        </wps:txbx>
                        <wps:bodyPr rot="0" vert="horz" wrap="square" lIns="91440" tIns="45720" rIns="91440" bIns="45720" anchor="t" anchorCtr="0">
                          <a:noAutofit/>
                        </wps:bodyPr>
                      </wps:wsp>
                      <pic:pic xmlns:pic="http://schemas.openxmlformats.org/drawingml/2006/picture">
                        <pic:nvPicPr>
                          <pic:cNvPr id="40"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16441" y="2915191"/>
                            <a:ext cx="278435" cy="278436"/>
                          </a:xfrm>
                          <a:prstGeom prst="rect">
                            <a:avLst/>
                          </a:prstGeom>
                        </pic:spPr>
                      </pic:pic>
                      <pic:pic xmlns:pic="http://schemas.openxmlformats.org/drawingml/2006/picture">
                        <pic:nvPicPr>
                          <pic:cNvPr id="29"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908130" y="-33850"/>
                            <a:ext cx="278435" cy="262550"/>
                          </a:xfrm>
                          <a:prstGeom prst="rect">
                            <a:avLst/>
                          </a:prstGeom>
                        </pic:spPr>
                      </pic:pic>
                    </wpg:wgp>
                  </a:graphicData>
                </a:graphic>
              </wp:inline>
            </w:drawing>
          </mc:Choice>
          <mc:Fallback>
            <w:pict w14:anchorId="7752BE22">
              <v:group id="Group 27" style="width:7in;height:317.1pt;mso-position-horizontal-relative:char;mso-position-vertical-relative:line" coordsize="59848,43233" coordorigin="-1164,-338" o:spid="_x0000_s1026" w14:anchorId="7FD7CC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">
                <v:shapetype id="_x0000_t202" coordsize="21600,21600" o:spt="202" path="m,l,21600r21600,l21600,xe">
                  <v:stroke joinstyle="miter"/>
                  <v:path gradientshapeok="t" o:connecttype="rect"/>
                </v:shapetype>
                <v:shape id="Text Box 2" style="position:absolute;left:31134;top:690;width:27549;height:27943;visibility:visible;mso-wrap-style:square;v-text-anchor:top" o:spid="_x0000_s1027" fillcolor="white [3201]" strokecolor="#4472c4 [3204]"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">
                  <v:textbox>
                    <w:txbxContent>
                      <w:p w:rsidRPr="00FD648D" w:rsidR="007274B8" w:rsidP="007274B8" w:rsidRDefault="007274B8" w14:paraId="43F42C0B" w14:textId="6C7568E8">
                        <w:pPr>
                          <w:shd w:val="clear" w:color="auto" w:fill="FFF2CC" w:themeFill="accent4" w:themeFillTint="33"/>
                          <w:ind w:firstLine="64"/>
                          <w:jc w:val="both"/>
                          <w:rPr>
                            <w:i/>
                            <w:iCs/>
                            <w:sz w:val="21"/>
                            <w:szCs w:val="21"/>
                          </w:rPr>
                        </w:pPr>
                        <w:r>
                          <w:rPr>
                            <w:rFonts w:ascii="Wingdings" w:hAnsi="Wingdings" w:eastAsia="Wingdings" w:cs="Wingdings"/>
                            <w:color w:val="2E74B5" w:themeColor="accent5" w:themeShade="BF"/>
                            <w:sz w:val="18"/>
                            <w:szCs w:val="18"/>
                          </w:rPr>
                          <w:t>è</w:t>
                        </w:r>
                        <w:r>
                          <w:rPr>
                            <w:i/>
                            <w:iCs/>
                            <w:sz w:val="20"/>
                            <w:szCs w:val="20"/>
                          </w:rPr>
                          <w:t>The Programme’s support to piloting of a “</w:t>
                        </w:r>
                        <w:r>
                          <w:rPr>
                            <w:b/>
                            <w:bCs/>
                            <w:i/>
                            <w:iCs/>
                            <w:sz w:val="20"/>
                            <w:szCs w:val="20"/>
                          </w:rPr>
                          <w:t>Digital transition scheme for digitalization of LG services</w:t>
                        </w:r>
                        <w:r>
                          <w:rPr>
                            <w:i/>
                            <w:iCs/>
                            <w:sz w:val="20"/>
                            <w:szCs w:val="20"/>
                          </w:rPr>
                          <w:t>” at the entity level  serves as a “proof of concept” in terms of (i) local governments’ ability to adopt new digital solutions to enhance their openness, transparency, and effective service delivery through applied package of e-services; (ii) the government institution’s ability to host a digital transformation scheme  (in regard to identifying target local governments, conducting rapid e-readiness assessments, coordinating technical assistance to eligible local governments to establish e-services, and monitoring and reporting). In line with SDG FF, it will set up a systemic platform for further scale-up of e-services that local governments provide to citizens and local businesses.</w:t>
                        </w:r>
                      </w:p>
                    </w:txbxContent>
                  </v:textbox>
                </v:shape>
                <v:shape id="Text Box 2" style="position:absolute;left:-859;top:690;width:31518;height:27860;visibility:visible;mso-wrap-style:square;v-text-anchor:top" o:spid="_x0000_s1028" fillcolor="white [3201]" strokecolor="#4472c4 [3204]"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">
                  <v:textbox>
                    <w:txbxContent>
                      <w:p w:rsidRPr="00FD648D" w:rsidR="007274B8" w:rsidP="007274B8" w:rsidRDefault="007274B8" w14:paraId="040288C0" w14:textId="77777777">
                        <w:pPr>
                          <w:shd w:val="clear" w:color="auto" w:fill="FFF2CC" w:themeFill="accent4" w:themeFillTint="33"/>
                          <w:ind w:firstLine="144"/>
                          <w:jc w:val="both"/>
                          <w:rPr>
                            <w:i/>
                            <w:iCs/>
                            <w:sz w:val="21"/>
                            <w:szCs w:val="21"/>
                          </w:rPr>
                        </w:pPr>
                        <w:r>
                          <w:rPr>
                            <w:rFonts w:ascii="Wingdings" w:hAnsi="Wingdings" w:eastAsia="Wingdings" w:cs="Wingdings"/>
                            <w:color w:val="2E74B5" w:themeColor="accent5" w:themeShade="BF"/>
                            <w:sz w:val="18"/>
                            <w:szCs w:val="18"/>
                          </w:rPr>
                          <w:t>è</w:t>
                        </w:r>
                        <w:r>
                          <w:rPr>
                            <w:i/>
                            <w:iCs/>
                            <w:sz w:val="21"/>
                            <w:szCs w:val="21"/>
                          </w:rPr>
                          <w:t xml:space="preserve">The </w:t>
                        </w:r>
                        <w:r>
                          <w:rPr>
                            <w:i/>
                            <w:iCs/>
                            <w:sz w:val="21"/>
                            <w:szCs w:val="21"/>
                          </w:rPr>
                          <w:t>Programme’s support to the development of “</w:t>
                        </w:r>
                        <w:r>
                          <w:rPr>
                            <w:b/>
                            <w:bCs/>
                            <w:i/>
                            <w:iCs/>
                            <w:sz w:val="21"/>
                            <w:szCs w:val="21"/>
                          </w:rPr>
                          <w:t xml:space="preserve">Grant Scheme for Strengthening the competitiveness of SMEs” </w:t>
                        </w:r>
                        <w:r>
                          <w:rPr>
                            <w:i/>
                            <w:iCs/>
                            <w:sz w:val="21"/>
                            <w:szCs w:val="21"/>
                          </w:rPr>
                          <w:t>in FBiH is a strategic opportunity &amp; tool for embedding a systemic “know-how” into developing a complex government grant scheme that offers incentives for green transition and circular economy. Furthermore, it envisages the support to the government partners for digitalization of grants scheme management; It explores the possibilities for collaboration and partnerships for sustainable financing of SMEs development initiatives. Lastly, demonstrating the FBiH experience may encourage other government levels to utilize the same approach &amp; solutions while developing similar financial mechanisms for supporting green transition and circular economy in the coming years.</w:t>
                        </w:r>
                      </w:p>
                    </w:txbxContent>
                  </v:textbox>
                </v:shape>
                <v:shape id="Picture 6" style="position:absolute;left:-1164;top:-338;width:2783;height:278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">
                  <v:imagedata o:title="" r:id="rId18"/>
                </v:shape>
                <v:shape id="Text Box 2" style="position:absolute;left:-859;top:29151;width:59543;height:13743;visibility:visible;mso-wrap-style:square;v-text-anchor:top" o:spid="_x0000_s1030" fillcolor="white [3201]" strokecolor="#4472c4 [3204]" strokeweight="1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">
                  <v:textbox>
                    <w:txbxContent>
                      <w:p w:rsidRPr="00FD648D" w:rsidR="007274B8" w:rsidP="007274B8" w:rsidRDefault="007274B8" w14:paraId="57E7E671" w14:textId="77777777">
                        <w:pPr>
                          <w:shd w:val="clear" w:color="auto" w:fill="FFF2CC" w:themeFill="accent4" w:themeFillTint="33"/>
                          <w:ind w:firstLine="144"/>
                          <w:jc w:val="both"/>
                          <w:rPr>
                            <w:i/>
                            <w:iCs/>
                            <w:sz w:val="21"/>
                            <w:szCs w:val="21"/>
                          </w:rPr>
                        </w:pPr>
                        <w:r>
                          <w:rPr>
                            <w:rFonts w:ascii="Wingdings" w:hAnsi="Wingdings" w:eastAsia="Wingdings" w:cs="Wingdings"/>
                            <w:color w:val="2E74B5" w:themeColor="accent5" w:themeShade="BF"/>
                            <w:sz w:val="18"/>
                            <w:szCs w:val="18"/>
                          </w:rPr>
                          <w:t xml:space="preserve"> è</w:t>
                        </w:r>
                        <w:r>
                          <w:rPr>
                            <w:i/>
                            <w:iCs/>
                            <w:sz w:val="21"/>
                            <w:szCs w:val="21"/>
                          </w:rPr>
                          <w:t xml:space="preserve">The </w:t>
                        </w:r>
                        <w:r>
                          <w:rPr>
                            <w:i/>
                            <w:iCs/>
                            <w:sz w:val="21"/>
                            <w:szCs w:val="21"/>
                          </w:rPr>
                          <w:t>Programme’s support to the development of “</w:t>
                        </w:r>
                        <w:r>
                          <w:rPr>
                            <w:b/>
                            <w:bCs/>
                            <w:i/>
                            <w:iCs/>
                            <w:sz w:val="21"/>
                            <w:szCs w:val="21"/>
                          </w:rPr>
                          <w:t xml:space="preserve">Joint Research &amp; Development Grant scheme” </w:t>
                        </w:r>
                        <w:r>
                          <w:rPr>
                            <w:i/>
                            <w:iCs/>
                            <w:sz w:val="21"/>
                            <w:szCs w:val="21"/>
                          </w:rPr>
                          <w:t xml:space="preserve">is a unique opportunity to support the R&amp;D in FBiH through joint efforts by the government, academia, and private sector. It has two-fold, long term objectives: (i) to support the government partner in developing a financial mechanism for a concentrated, targeted, and transparent distribution of grants to support R&amp;D projects; (ii) to utilize the pilot phase to develop a methodological approach that allows for a quick and effective replication in the future. Additionally, the pilot phase will be utilized to explore and call for possible partnerships for crowding-in external financial resources. </w:t>
                        </w:r>
                      </w:p>
                    </w:txbxContent>
                  </v:textbox>
                </v:shape>
                <v:shape id="Picture 6" style="position:absolute;left:-1164;top:29151;width:2783;height:2785;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">
                  <v:imagedata o:title="" r:id="rId18"/>
                </v:shape>
                <v:shape id="Picture 6" style="position:absolute;left:29081;top:-338;width:2784;height:262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">
                  <v:imagedata o:title="" r:id="rId18"/>
                </v:shape>
                <w10:anchorlock/>
              </v:group>
            </w:pict>
          </mc:Fallback>
        </mc:AlternateContent>
      </w:r>
    </w:p>
    <w:p w:rsidRPr="003D7404" w:rsidR="00D02D08" w:rsidP="00D02D08" w:rsidRDefault="00D02D08" w14:paraId="6E7FB234" w14:textId="77777777">
      <w:pPr>
        <w:spacing w:line="259" w:lineRule="auto"/>
        <w:rPr>
          <w:rFonts w:eastAsia="Times New Roman" w:asciiTheme="minorHAnsi" w:hAnsiTheme="minorHAnsi" w:cstheme="minorBidi"/>
          <w:bCs/>
          <w:spacing w:val="-2"/>
        </w:rPr>
      </w:pPr>
    </w:p>
    <w:p w:rsidRPr="003E710B" w:rsidR="003E710B" w:rsidP="006E6A6B" w:rsidRDefault="006E6A6B" w14:paraId="4D4EE0CB" w14:textId="77777777">
      <w:pPr>
        <w:pStyle w:val="Heading2"/>
        <w:pBdr>
          <w:bottom w:val="single" w:color="0468B1" w:sz="6" w:space="1"/>
        </w:pBdr>
        <w:spacing w:before="240"/>
        <w:jc w:val="both"/>
        <w:rPr>
          <w:rFonts w:asciiTheme="minorHAnsi" w:hAnsiTheme="minorHAnsi" w:cstheme="minorBidi"/>
          <w:b/>
          <w:color w:val="0468B1"/>
          <w:sz w:val="28"/>
        </w:rPr>
      </w:pPr>
      <w:bookmarkStart w:name="_Toc221887262" w:id="27"/>
      <w:r>
        <w:rPr>
          <w:rFonts w:asciiTheme="minorHAnsi" w:hAnsiTheme="minorHAnsi" w:cstheme="minorBidi"/>
          <w:b/>
          <w:color w:val="0468B1"/>
          <w:sz w:val="28"/>
        </w:rPr>
        <w:t>Output 1.3.</w:t>
      </w:r>
      <w:bookmarkEnd w:id="27"/>
      <w:r>
        <w:rPr>
          <w:rFonts w:asciiTheme="minorHAnsi" w:hAnsiTheme="minorHAnsi" w:cstheme="minorBidi"/>
          <w:b/>
          <w:color w:val="0468B1"/>
          <w:sz w:val="28"/>
        </w:rPr>
        <w:t xml:space="preserve"> </w:t>
      </w:r>
    </w:p>
    <w:p w:rsidRPr="003E710B" w:rsidR="00D02D08" w:rsidP="003E710B" w:rsidRDefault="006E6A6B" w14:paraId="33E46C7A" w14:textId="72FF7596">
      <w:pPr>
        <w:rPr>
          <w:b/>
          <w:bCs/>
        </w:rPr>
      </w:pPr>
      <w:r>
        <w:rPr>
          <w:b/>
          <w:bCs/>
        </w:rPr>
        <w:t xml:space="preserve">Advancing engagement of private sector and other stakeholders in sustainable development </w:t>
      </w:r>
    </w:p>
    <w:p w:rsidRPr="003D7404" w:rsidR="003E710B" w:rsidP="003E710B" w:rsidRDefault="003E710B" w14:paraId="47159514" w14:textId="77777777"/>
    <w:p w:rsidRPr="003D7404" w:rsidR="00D02D08" w:rsidP="0846E340" w:rsidRDefault="00BC074B" w14:paraId="5D225A43"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Activities below focus on advancing the engagement of the private sector, but also of other relevant actors, in the implementation of Agenda 2030. The SDG Business Pioneers Award (SDG BPA) in BiH has evolved into a prominent tool for engagement of the private sector. the Programme is dedicated to promoting the significance of sustainability reporting, adhering to Global Reporting Initiative (GRI) standards, creating decent jobs, and reducing environmental impact within the private sector. The Programme has continued to effectively utilize the SDG Week in BiH as a nationally recognized platform for promotion of SDGs. </w:t>
      </w:r>
    </w:p>
    <w:p w:rsidR="00DB49F2" w:rsidP="00873D49" w:rsidRDefault="00DB49F2" w14:paraId="09EDA34C" w14:textId="77777777">
      <w:pPr>
        <w:rPr>
          <w:bCs/>
        </w:rPr>
      </w:pPr>
    </w:p>
    <w:p w:rsidR="00327CEB" w:rsidP="00873D49" w:rsidRDefault="00327CEB" w14:paraId="344D0962" w14:textId="77777777">
      <w:pPr>
        <w:rPr>
          <w:bCs/>
        </w:rPr>
      </w:pPr>
    </w:p>
    <w:p w:rsidR="00327CEB" w:rsidP="00873D49" w:rsidRDefault="00327CEB" w14:paraId="6E7C86E7" w14:textId="77777777">
      <w:pPr>
        <w:rPr>
          <w:bCs/>
        </w:rPr>
      </w:pPr>
    </w:p>
    <w:p w:rsidRPr="003D7404" w:rsidR="00327CEB" w:rsidP="00873D49" w:rsidRDefault="00327CEB" w14:paraId="00E115F9" w14:textId="77777777">
      <w:pPr>
        <w:rPr>
          <w:bCs/>
        </w:rPr>
      </w:pPr>
    </w:p>
    <w:p w:rsidRPr="003E710B" w:rsidR="00D02D08" w:rsidP="00D12B63" w:rsidRDefault="51EA6A60" w14:paraId="7C9E3DBF" w14:textId="77777777">
      <w:pPr>
        <w:pStyle w:val="Heading3"/>
        <w:pBdr>
          <w:bottom w:val="single" w:color="0468B1" w:sz="4" w:space="1"/>
        </w:pBdr>
        <w:spacing w:before="240"/>
        <w:rPr>
          <w:rFonts w:cstheme="majorHAnsi"/>
          <w:b/>
          <w:color w:val="auto"/>
        </w:rPr>
      </w:pPr>
      <w:bookmarkStart w:name="_Toc221887263" w:id="28"/>
      <w:r>
        <w:rPr>
          <w:rFonts w:cstheme="majorHAnsi"/>
          <w:b/>
          <w:color w:val="0468B1"/>
          <w:sz w:val="26"/>
        </w:rPr>
        <w:t>1.3.1. Engaging private sector to promote sustainable development</w:t>
      </w:r>
      <w:bookmarkEnd w:id="28"/>
    </w:p>
    <w:p w:rsidR="003E710B" w:rsidP="210A76AC" w:rsidRDefault="003E710B" w14:paraId="34C4E66E" w14:textId="77777777">
      <w:pPr>
        <w:spacing w:before="120"/>
        <w:jc w:val="both"/>
        <w:rPr>
          <w:rFonts w:eastAsia="Times New Roman" w:asciiTheme="minorHAnsi" w:hAnsiTheme="minorHAnsi" w:cstheme="minorBidi"/>
          <w:bCs/>
          <w:color w:val="2F5496" w:themeColor="accent1" w:themeShade="BF"/>
          <w:spacing w:val="-2"/>
        </w:rPr>
      </w:pPr>
    </w:p>
    <w:p w:rsidRPr="003E710B" w:rsidR="00A557E8" w:rsidP="003E710B" w:rsidRDefault="00464D36" w14:paraId="5639EDFB" w14:textId="00C8CF6C">
      <w:pPr>
        <w:spacing w:before="120"/>
        <w:jc w:val="both"/>
        <w:rPr>
          <w:rFonts w:eastAsia="Times New Roman" w:asciiTheme="minorHAnsi" w:hAnsiTheme="minorHAnsi" w:cstheme="minorBidi"/>
          <w:b/>
        </w:rPr>
      </w:pPr>
      <w:r>
        <w:rPr>
          <w:rFonts w:eastAsia="Times New Roman" w:asciiTheme="minorHAnsi" w:hAnsiTheme="minorHAnsi" w:cstheme="minorBidi"/>
          <w:b/>
          <w:color w:val="2F5496" w:themeColor="accent1" w:themeShade="BF"/>
          <w:spacing w:val="-2"/>
        </w:rPr>
        <w:t>SDG Business Pioneers Award in BiH</w:t>
      </w:r>
    </w:p>
    <w:p w:rsidRPr="003D7404" w:rsidR="006C3688" w:rsidP="003E710B" w:rsidRDefault="00A557E8" w14:paraId="47C58238" w14:textId="32CA2452">
      <w:pPr>
        <w:spacing w:before="120"/>
        <w:jc w:val="both"/>
        <w:rPr>
          <w:rFonts w:eastAsia="Times New Roman" w:asciiTheme="minorHAnsi" w:hAnsiTheme="minorHAnsi" w:cstheme="minorBidi"/>
          <w:bCs/>
        </w:rPr>
      </w:pPr>
      <w:r>
        <w:rPr>
          <w:rFonts w:eastAsia="Times New Roman" w:asciiTheme="minorHAnsi" w:hAnsiTheme="minorHAnsi" w:cstheme="minorBidi"/>
          <w:bCs/>
        </w:rPr>
        <w:t>The SDG Business Pioneers Award in Bosnia and Herzegovina (SDG BPA in BiH) serves as the leading country-wide platform for engaging the private sector in the implementation of the Sustainable Development Goals. Between 2022 and 2025, the initiative evolved into a recognized model of promoting sustainability, transparency, and responsible business practices, inspiring companies across the country to integrate social and environmental principles into their core operations.</w:t>
      </w:r>
    </w:p>
    <w:p w:rsidRPr="003D7404" w:rsidR="00AA0248" w:rsidP="003E710B" w:rsidRDefault="00A55406" w14:paraId="035C19DA" w14:textId="0FE03F93">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As of year 2022, the Award was organized in four consecutive editions, engaging over 1,000 </w:t>
      </w:r>
      <w:proofErr w:type="gramStart"/>
      <w:r>
        <w:rPr>
          <w:rFonts w:eastAsia="Times New Roman" w:asciiTheme="minorHAnsi" w:hAnsiTheme="minorHAnsi" w:cstheme="minorBidi"/>
          <w:bCs/>
        </w:rPr>
        <w:t>companies</w:t>
      </w:r>
      <w:proofErr w:type="gramEnd"/>
      <w:r>
        <w:rPr>
          <w:rFonts w:eastAsia="Times New Roman" w:asciiTheme="minorHAnsi" w:hAnsiTheme="minorHAnsi" w:cstheme="minorBidi"/>
          <w:bCs/>
        </w:rPr>
        <w:t xml:space="preserve"> and bringing together more than 750 participants in events organized around the SDG BPA in BiH, including representatives from the private sector, public and financial institutions, international organizations, and civil society. The initiative consistently promoted sustainability reporting based on GRI standards, encouraged circular economy and green transition, and provided participating companies with tailored sustainability blueprints.</w:t>
      </w:r>
    </w:p>
    <w:p w:rsidRPr="003D7404" w:rsidR="00597AC5" w:rsidP="00597AC5" w:rsidRDefault="00660AE5" w14:paraId="407CE6B9" w14:textId="587B0AD9">
      <w:pPr>
        <w:spacing w:before="120"/>
        <w:jc w:val="both"/>
        <w:rPr>
          <w:rFonts w:eastAsia="Calibri"/>
          <w:bCs/>
        </w:rPr>
      </w:pPr>
      <w:r>
        <w:rPr>
          <w:rFonts w:eastAsia="Calibri"/>
          <w:bCs/>
        </w:rPr>
        <w:t>The Award has been implemented in partnership with the Foreign Trade Chamber of Bosnia and Herzegovina, ensuring alignment with national economic frameworks and enabling stronger integration of sustainability principles into the private sector. The award continued to feature two main thematic areas - “People” and “Resources &amp; Environment” - recognizing companies of different sizes that demonstrated excellence in areas such as decent work, gender equality, innovation, and environmental responsibility.</w:t>
      </w:r>
    </w:p>
    <w:p w:rsidRPr="003D7404" w:rsidR="00AA0248" w:rsidP="00597AC5" w:rsidRDefault="00AA0248" w14:paraId="12B1AB89" w14:textId="77777777">
      <w:pPr>
        <w:spacing w:line="257" w:lineRule="auto"/>
        <w:jc w:val="both"/>
        <w:rPr>
          <w:rFonts w:eastAsia="Calibri"/>
          <w:bCs/>
        </w:rPr>
      </w:pPr>
    </w:p>
    <w:p w:rsidRPr="003D7404" w:rsidR="002A370E" w:rsidP="00597AC5" w:rsidRDefault="002A370E" w14:paraId="32A12E73" w14:textId="6C7FAFE4">
      <w:pPr>
        <w:spacing w:line="257" w:lineRule="auto"/>
        <w:jc w:val="both"/>
        <w:rPr>
          <w:rFonts w:eastAsia="Calibri"/>
          <w:bCs/>
        </w:rPr>
      </w:pPr>
      <w:r>
        <w:rPr>
          <w:rFonts w:eastAsia="Calibri"/>
          <w:bCs/>
          <w:noProof/>
        </w:rPr>
        <w:drawing>
          <wp:inline distT="0" distB="0" distL="0" distR="0" wp14:anchorId="798BADEB" wp14:editId="697AE37A">
            <wp:extent cx="6400800" cy="3394710"/>
            <wp:effectExtent l="0" t="0" r="0" b="0"/>
            <wp:docPr id="13" name="Picture 13" descr="A diagram of a company's resul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company's results  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3394710"/>
                    </a:xfrm>
                    <a:prstGeom prst="rect">
                      <a:avLst/>
                    </a:prstGeom>
                  </pic:spPr>
                </pic:pic>
              </a:graphicData>
            </a:graphic>
          </wp:inline>
        </w:drawing>
      </w:r>
    </w:p>
    <w:p w:rsidRPr="003D7404" w:rsidR="006C3688" w:rsidP="00597AC5" w:rsidRDefault="006C3688" w14:paraId="12AC1E0D" w14:textId="77777777">
      <w:pPr>
        <w:spacing w:line="257" w:lineRule="auto"/>
        <w:jc w:val="both"/>
        <w:rPr>
          <w:rFonts w:eastAsia="Calibri"/>
          <w:bCs/>
        </w:rPr>
      </w:pPr>
    </w:p>
    <w:p w:rsidRPr="003D7404" w:rsidR="00120E62" w:rsidP="003E710B" w:rsidRDefault="00373500" w14:paraId="78AA71C8" w14:textId="28F3AAF4">
      <w:pPr>
        <w:spacing w:before="120"/>
        <w:jc w:val="both"/>
        <w:rPr>
          <w:rFonts w:eastAsia="Calibri"/>
          <w:bCs/>
        </w:rPr>
      </w:pPr>
      <w:r>
        <w:rPr>
          <w:rFonts w:eastAsia="Calibri"/>
          <w:bCs/>
        </w:rPr>
        <w:t>The Programme team dedicated efforts to make sure that all promotional events were designed in line with the principles of sustainable event management (</w:t>
      </w:r>
      <w:proofErr w:type="gramStart"/>
      <w:r>
        <w:rPr>
          <w:rFonts w:eastAsia="Calibri"/>
          <w:bCs/>
        </w:rPr>
        <w:t>e.g.</w:t>
      </w:r>
      <w:proofErr w:type="gramEnd"/>
      <w:r>
        <w:rPr>
          <w:rFonts w:eastAsia="Calibri"/>
          <w:bCs/>
        </w:rPr>
        <w:t xml:space="preserve"> events being carbon-positive and inclusive, with vegan catering and CO₂ offsets through TvojCO2.ba). Participation grew steadily from 85 companies in 2022 to 484 in 2025, representing a compound annual growth rate of 78%, and demonstrating a rapidly increasing private sector interest in sustainability. During the 2022–2025 period, the overall winners of the Award were dm </w:t>
      </w:r>
      <w:proofErr w:type="spellStart"/>
      <w:r>
        <w:rPr>
          <w:rFonts w:eastAsia="Calibri"/>
          <w:bCs/>
        </w:rPr>
        <w:t>drogerie</w:t>
      </w:r>
      <w:proofErr w:type="spellEnd"/>
      <w:r>
        <w:rPr>
          <w:rFonts w:eastAsia="Calibri"/>
          <w:bCs/>
        </w:rPr>
        <w:t xml:space="preserve"> </w:t>
      </w:r>
      <w:proofErr w:type="spellStart"/>
      <w:r>
        <w:rPr>
          <w:rFonts w:eastAsia="Calibri"/>
          <w:bCs/>
        </w:rPr>
        <w:t>markt</w:t>
      </w:r>
      <w:proofErr w:type="spellEnd"/>
      <w:r>
        <w:rPr>
          <w:rFonts w:eastAsia="Calibri"/>
          <w:bCs/>
        </w:rPr>
        <w:t xml:space="preserve">, KLIKA, ZIRA, and </w:t>
      </w:r>
      <w:proofErr w:type="spellStart"/>
      <w:r>
        <w:rPr>
          <w:rFonts w:eastAsia="Calibri"/>
          <w:bCs/>
        </w:rPr>
        <w:t>iFORM</w:t>
      </w:r>
      <w:proofErr w:type="spellEnd"/>
      <w:r>
        <w:rPr>
          <w:rFonts w:eastAsia="Calibri"/>
          <w:bCs/>
        </w:rPr>
        <w:t>, recognized for their outstanding achievements across both thematic areas.</w:t>
      </w:r>
    </w:p>
    <w:p w:rsidRPr="003D7404" w:rsidR="00120E62" w:rsidP="003E710B" w:rsidRDefault="007F0719" w14:paraId="3CD99AAB" w14:textId="26F22BD8">
      <w:pPr>
        <w:spacing w:before="120"/>
        <w:jc w:val="both"/>
        <w:rPr>
          <w:rFonts w:eastAsia="Calibri"/>
          <w:bCs/>
        </w:rPr>
      </w:pPr>
      <w:r>
        <w:rPr>
          <w:rFonts w:eastAsia="Calibri"/>
          <w:bCs/>
        </w:rPr>
        <w:t>Cumulatively, the SDG BPA in BiH led to measurable results in promoting responsible business conduct: over 50% of companies reported reducing plastic use and food waste, 42% implemented emission-reduction measures, and 45% introduced employee education on circular economy. Furthermore, 67% of companies participating in the 2025 edition reported paying wages at or above industry average, while 32% had women in more than half of top management positions.</w:t>
      </w:r>
    </w:p>
    <w:p w:rsidRPr="003D7404" w:rsidR="00872E1D" w:rsidP="003E710B" w:rsidRDefault="00B7262F" w14:paraId="3E6F69D6" w14:textId="3388CD75">
      <w:pPr>
        <w:spacing w:before="120"/>
        <w:jc w:val="both"/>
        <w:rPr>
          <w:bCs/>
          <w:noProof/>
        </w:rPr>
      </w:pPr>
      <w:r>
        <w:rPr>
          <w:rFonts w:eastAsia="Calibri"/>
          <w:bCs/>
        </w:rPr>
        <w:t>Through continuous promotion, collaboration with national partners, and strong media presence, the SDG Business Pioneers Award established itself as a flagship mechanism for engaging the private sector in the 2030 Agenda.</w:t>
      </w:r>
      <w:r>
        <w:rPr>
          <w:bCs/>
        </w:rPr>
        <w:t xml:space="preserve"> </w:t>
      </w:r>
      <w:r>
        <w:rPr>
          <w:rFonts w:eastAsia="Calibri"/>
          <w:bCs/>
        </w:rPr>
        <w:t>The SDG BPA in BiH has so far highlighted numerous examples of good practices - companies of different sizes and from different business sectors have proudly shared their valuable steps towards a more sustainable business. The Award does not only celebrate business excellence but also contributes to shaping a new culture of sustainability and innovation in Bosnia and Herzegovina.</w:t>
      </w:r>
    </w:p>
    <w:p w:rsidRPr="003D7404" w:rsidR="002E4B36" w:rsidP="003E710B" w:rsidRDefault="002E4B36" w14:paraId="410A64AC" w14:textId="223EC461">
      <w:pPr>
        <w:spacing w:before="120"/>
        <w:jc w:val="both"/>
        <w:rPr>
          <w:rFonts w:eastAsia="Calibri"/>
          <w:bCs/>
        </w:rPr>
      </w:pPr>
      <w:r>
        <w:rPr>
          <w:rFonts w:eastAsia="Calibri"/>
          <w:bCs/>
        </w:rPr>
        <w:t xml:space="preserve">In 2025, the SDG Business Pioneers Award in BiH expanded its impact by introducing two dedicated masterclasses aimed at strengthening the capacity of participating companies. The first, held in June 2025 for the Award finalists, focused on “Sustainability as a Profit Catalyst - Navigating Regulations, Embracing Game-Changing Technologies, and Transforming Business Models”, and was delivered by Karlo </w:t>
      </w:r>
      <w:proofErr w:type="spellStart"/>
      <w:r>
        <w:rPr>
          <w:rFonts w:eastAsia="Calibri"/>
          <w:bCs/>
        </w:rPr>
        <w:t>Guštin</w:t>
      </w:r>
      <w:proofErr w:type="spellEnd"/>
      <w:r>
        <w:rPr>
          <w:rFonts w:eastAsia="Calibri"/>
          <w:bCs/>
        </w:rPr>
        <w:t>, Sustainability Portfolio Business Development Manager at Ericsson Nikola Tesla. This session provided practical insights and tools for integrating sustainability into strategic decision-making and operational practices.</w:t>
      </w:r>
    </w:p>
    <w:p w:rsidRPr="003D7404" w:rsidR="002E4B36" w:rsidP="003E710B" w:rsidRDefault="00C17B5E" w14:paraId="0ED4EF32" w14:textId="5D008847">
      <w:pPr>
        <w:spacing w:before="120"/>
        <w:jc w:val="both"/>
        <w:rPr>
          <w:rFonts w:eastAsia="Calibri"/>
          <w:bCs/>
        </w:rPr>
      </w:pPr>
      <w:r>
        <w:rPr>
          <w:rFonts w:eastAsia="Calibri"/>
          <w:bCs/>
        </w:rPr>
        <w:t xml:space="preserve">The second masterclass targeted company representatives of the overall winners from the past seven years, under the theme “Building the Future -Together”, presented by Henrik Sällman, CEO of </w:t>
      </w:r>
      <w:proofErr w:type="spellStart"/>
      <w:r>
        <w:rPr>
          <w:rFonts w:eastAsia="Calibri"/>
          <w:bCs/>
        </w:rPr>
        <w:t>Reeinvent</w:t>
      </w:r>
      <w:proofErr w:type="spellEnd"/>
      <w:r>
        <w:rPr>
          <w:rFonts w:eastAsia="Calibri"/>
          <w:bCs/>
        </w:rPr>
        <w:t xml:space="preserve"> AB. By combining expert guidance with hands-on strategic discussions, these masterclasses established a new dimension of the SDG BPA, positioning the Award not only as a platform for recognition but also as a continuous learning and capacity-building ecosystem for sustainable business in Bosnia and Herzegovina.</w:t>
      </w:r>
      <w:r>
        <w:rPr>
          <w:rFonts w:eastAsia="Calibri"/>
          <w:bCs/>
          <w:noProof/>
        </w:rPr>
        <w:t xml:space="preserve"> </w:t>
      </w:r>
    </w:p>
    <w:tbl>
      <w:tblPr>
        <w:tblpPr w:leftFromText="180" w:rightFromText="180" w:vertAnchor="text" w:horzAnchor="margin" w:tblpY="1966"/>
        <w:tblW w:w="0" w:type="auto"/>
        <w:tblLook w:val="04A0" w:firstRow="1" w:lastRow="0" w:firstColumn="1" w:lastColumn="0" w:noHBand="0" w:noVBand="1"/>
      </w:tblPr>
      <w:tblGrid>
        <w:gridCol w:w="2520"/>
        <w:gridCol w:w="2520"/>
        <w:gridCol w:w="2520"/>
        <w:gridCol w:w="2520"/>
      </w:tblGrid>
      <w:tr w:rsidR="00BB5C7C" w:rsidTr="00BB5C7C" w14:paraId="06245BEA" w14:textId="77777777">
        <w:tc>
          <w:tcPr>
            <w:tcW w:w="2520" w:type="dxa"/>
            <w:shd w:val="clear" w:color="auto" w:fill="E5243B"/>
          </w:tcPr>
          <w:p w:rsidR="00BB5C7C" w:rsidP="00BB5C7C" w:rsidRDefault="00BB5C7C" w14:paraId="3A274FE2" w14:textId="77777777">
            <w:pPr>
              <w:jc w:val="center"/>
            </w:pPr>
            <w:r>
              <w:rPr>
                <w:b/>
                <w:color w:val="FFFFFF"/>
                <w:sz w:val="14"/>
              </w:rPr>
              <w:t>APPS (2025)</w:t>
            </w:r>
          </w:p>
        </w:tc>
        <w:tc>
          <w:tcPr>
            <w:tcW w:w="2520" w:type="dxa"/>
            <w:shd w:val="clear" w:color="auto" w:fill="FF3A21"/>
          </w:tcPr>
          <w:p w:rsidR="00BB5C7C" w:rsidP="00BB5C7C" w:rsidRDefault="00BB5C7C" w14:paraId="113065A0" w14:textId="77777777">
            <w:pPr>
              <w:jc w:val="center"/>
            </w:pPr>
            <w:r>
              <w:rPr>
                <w:b/>
                <w:color w:val="FFFFFF"/>
                <w:sz w:val="14"/>
              </w:rPr>
              <w:t>GROWTH</w:t>
            </w:r>
          </w:p>
        </w:tc>
        <w:tc>
          <w:tcPr>
            <w:tcW w:w="2520" w:type="dxa"/>
            <w:shd w:val="clear" w:color="auto" w:fill="4C9F38"/>
          </w:tcPr>
          <w:p w:rsidR="00BB5C7C" w:rsidP="00BB5C7C" w:rsidRDefault="00BB5C7C" w14:paraId="08B75A69" w14:textId="77777777">
            <w:pPr>
              <w:jc w:val="center"/>
            </w:pPr>
            <w:r>
              <w:rPr>
                <w:b/>
                <w:color w:val="FFFFFF"/>
                <w:sz w:val="14"/>
              </w:rPr>
              <w:t>EMISSIONS</w:t>
            </w:r>
          </w:p>
        </w:tc>
        <w:tc>
          <w:tcPr>
            <w:tcW w:w="2520" w:type="dxa"/>
            <w:shd w:val="clear" w:color="auto" w:fill="D3A029"/>
          </w:tcPr>
          <w:p w:rsidR="00BB5C7C" w:rsidP="00BB5C7C" w:rsidRDefault="00BB5C7C" w14:paraId="7D1412DB" w14:textId="77777777">
            <w:pPr>
              <w:jc w:val="center"/>
            </w:pPr>
            <w:r>
              <w:rPr>
                <w:b/>
                <w:color w:val="FFFFFF"/>
                <w:sz w:val="14"/>
              </w:rPr>
              <w:t>FEMALE MGMT</w:t>
            </w:r>
          </w:p>
        </w:tc>
      </w:tr>
      <w:tr w:rsidR="00BB5C7C" w:rsidTr="00BB5C7C" w14:paraId="395F79B7" w14:textId="77777777">
        <w:tc>
          <w:tcPr>
            <w:tcW w:w="2520" w:type="dxa"/>
            <w:shd w:val="clear" w:color="auto" w:fill="F9F9F9"/>
          </w:tcPr>
          <w:p w:rsidR="00BB5C7C" w:rsidP="00BB5C7C" w:rsidRDefault="00BB5C7C" w14:paraId="3BE6D954" w14:textId="77777777">
            <w:pPr>
              <w:jc w:val="center"/>
            </w:pPr>
            <w:r>
              <w:rPr>
                <w:b/>
                <w:sz w:val="24"/>
              </w:rPr>
              <w:t>484</w:t>
            </w:r>
          </w:p>
        </w:tc>
        <w:tc>
          <w:tcPr>
            <w:tcW w:w="2520" w:type="dxa"/>
            <w:shd w:val="clear" w:color="auto" w:fill="F9F9F9"/>
          </w:tcPr>
          <w:p w:rsidR="00BB5C7C" w:rsidP="00BB5C7C" w:rsidRDefault="00BB5C7C" w14:paraId="222C43A2" w14:textId="77777777">
            <w:pPr>
              <w:jc w:val="center"/>
            </w:pPr>
            <w:r>
              <w:rPr>
                <w:b/>
                <w:sz w:val="24"/>
              </w:rPr>
              <w:t>78% CAGR</w:t>
            </w:r>
          </w:p>
        </w:tc>
        <w:tc>
          <w:tcPr>
            <w:tcW w:w="2520" w:type="dxa"/>
            <w:shd w:val="clear" w:color="auto" w:fill="F9F9F9"/>
          </w:tcPr>
          <w:p w:rsidR="00BB5C7C" w:rsidP="00BB5C7C" w:rsidRDefault="00BB5C7C" w14:paraId="172B68B5" w14:textId="77777777">
            <w:pPr>
              <w:jc w:val="center"/>
            </w:pPr>
            <w:r>
              <w:rPr>
                <w:b/>
                <w:sz w:val="24"/>
              </w:rPr>
              <w:t>42% REDUCTION</w:t>
            </w:r>
          </w:p>
        </w:tc>
        <w:tc>
          <w:tcPr>
            <w:tcW w:w="2520" w:type="dxa"/>
            <w:shd w:val="clear" w:color="auto" w:fill="F9F9F9"/>
          </w:tcPr>
          <w:p w:rsidR="00BB5C7C" w:rsidP="00BB5C7C" w:rsidRDefault="00BB5C7C" w14:paraId="775CACD6" w14:textId="77777777">
            <w:pPr>
              <w:jc w:val="center"/>
            </w:pPr>
            <w:r>
              <w:rPr>
                <w:b/>
                <w:sz w:val="24"/>
              </w:rPr>
              <w:t>32%</w:t>
            </w:r>
          </w:p>
        </w:tc>
      </w:tr>
    </w:tbl>
    <w:p w:rsidRPr="003D7404" w:rsidR="00435BE1" w:rsidP="00215945" w:rsidRDefault="00913C1C" w14:paraId="19E90BE9" w14:textId="77777777">
      <w:pPr>
        <w:spacing w:before="120"/>
        <w:jc w:val="both"/>
        <w:rPr>
          <w:rFonts w:eastAsia="Calibri"/>
          <w:bCs/>
        </w:rPr>
      </w:pPr>
      <w:r>
        <w:rPr>
          <w:rFonts w:eastAsia="Calibri"/>
          <w:bCs/>
        </w:rPr>
        <w:t xml:space="preserve">The call for applications for the 2026 SDG BPA in BiH, marking the 8th edition of the Award, opened on January 1 until March 15, 2026. A significant increase in interest is anticipated, following the record-breaking participation in 2025. Companies from across various sectors and regions of BiH are expected to apply, with a diverse mix of micro, small, medium, and large enterprises, reflecting the broad entrepreneurial landscape of the country. The SDG BPA ceremonies were publicized through mainstream media in BiH. </w:t>
      </w:r>
    </w:p>
    <w:p w:rsidRPr="003E710B" w:rsidR="00D02D08" w:rsidP="00D12B63" w:rsidRDefault="51EA6A60" w14:paraId="29406509" w14:textId="77777777">
      <w:pPr>
        <w:pStyle w:val="Heading3"/>
        <w:pBdr>
          <w:bottom w:val="single" w:color="0468B1" w:sz="4" w:space="1"/>
        </w:pBdr>
        <w:spacing w:before="240"/>
        <w:rPr>
          <w:rFonts w:cstheme="majorHAnsi"/>
          <w:b/>
          <w:color w:val="auto"/>
        </w:rPr>
      </w:pPr>
      <w:bookmarkStart w:name="_Toc221887264" w:id="29"/>
      <w:r>
        <w:rPr>
          <w:rFonts w:cstheme="majorHAnsi"/>
          <w:b/>
          <w:color w:val="0468B1"/>
          <w:sz w:val="26"/>
        </w:rPr>
        <w:t>1.3.2. SDG Week in BiH and promotion of SDG localization</w:t>
      </w:r>
      <w:bookmarkEnd w:id="29"/>
    </w:p>
    <w:p w:rsidRPr="003D7404" w:rsidR="00721F6D" w:rsidP="20DEFB8C" w:rsidRDefault="00721F6D" w14:paraId="2670D679" w14:textId="77777777">
      <w:pPr>
        <w:rPr>
          <w:rFonts w:asciiTheme="minorHAnsi" w:hAnsiTheme="minorHAnsi" w:cstheme="minorBidi"/>
          <w:bCs/>
        </w:rPr>
      </w:pPr>
    </w:p>
    <w:p w:rsidRPr="003D7404" w:rsidR="002C2609" w:rsidP="002C2609" w:rsidRDefault="0073452D" w14:paraId="51E0AF61"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Over the past four years, the SDG Week in Bosnia and Herzegovina has continued to grow as a country-wide platform that brings together institutions, the private sector, academia, and youth around the shared ambition of advancing the 2030 Agenda. While the initiative began prior to 2022, the period between 2022 and 2025 marked a phase of steady expansion, stronger institutional engagement, and growing visibility across the country. During this period, four editions of the SDG Week were organized in Bosnia and Herzegovina, each reflecting a clear evolution in scope, participation, and thematic focus:</w:t>
      </w:r>
    </w:p>
    <w:p w:rsidRPr="003D7404" w:rsidR="002C2609" w:rsidP="00C76EC9" w:rsidRDefault="002C2609" w14:paraId="33B50AC2" w14:textId="77777777">
      <w:pPr>
        <w:pStyle w:val="ListParagraph"/>
        <w:numPr>
          <w:ilvl w:val="0"/>
          <w:numId w:val="41"/>
        </w:numPr>
        <w:spacing w:before="120"/>
        <w:jc w:val="both"/>
        <w:rPr>
          <w:rFonts w:eastAsia="Times New Roman" w:asciiTheme="minorHAnsi" w:hAnsiTheme="minorHAnsi" w:cstheme="minorBidi"/>
          <w:bCs/>
          <w:i/>
        </w:rPr>
      </w:pPr>
      <w:r>
        <w:rPr>
          <w:rFonts w:eastAsia="Times New Roman" w:asciiTheme="minorHAnsi" w:hAnsiTheme="minorHAnsi" w:cstheme="minorBidi"/>
          <w:bCs/>
          <w:i/>
          <w:iCs/>
        </w:rPr>
        <w:t>SDG Week 2022 – “It is time to make smart choices now!”</w:t>
      </w:r>
    </w:p>
    <w:p w:rsidRPr="003D7404" w:rsidR="002C2609" w:rsidP="00C76EC9" w:rsidRDefault="002C2609" w14:paraId="436A8B3E" w14:textId="77777777">
      <w:pPr>
        <w:pStyle w:val="ListParagraph"/>
        <w:numPr>
          <w:ilvl w:val="0"/>
          <w:numId w:val="41"/>
        </w:numPr>
        <w:spacing w:before="120"/>
        <w:jc w:val="both"/>
        <w:rPr>
          <w:rFonts w:eastAsia="Times New Roman" w:asciiTheme="minorHAnsi" w:hAnsiTheme="minorHAnsi" w:cstheme="minorBidi"/>
          <w:bCs/>
          <w:i/>
        </w:rPr>
      </w:pPr>
      <w:r>
        <w:rPr>
          <w:rFonts w:eastAsia="Times New Roman" w:asciiTheme="minorHAnsi" w:hAnsiTheme="minorHAnsi" w:cstheme="minorBidi"/>
          <w:bCs/>
          <w:i/>
          <w:iCs/>
        </w:rPr>
        <w:t>SDG Week 2023 – “Partnerships - Accelerators of Sustainable and Inclusive Development”</w:t>
      </w:r>
    </w:p>
    <w:p w:rsidRPr="003D7404" w:rsidR="002C2609" w:rsidP="00C76EC9" w:rsidRDefault="002C2609" w14:paraId="696CB066" w14:textId="77777777">
      <w:pPr>
        <w:pStyle w:val="ListParagraph"/>
        <w:numPr>
          <w:ilvl w:val="0"/>
          <w:numId w:val="41"/>
        </w:numPr>
        <w:spacing w:before="120"/>
        <w:jc w:val="both"/>
        <w:rPr>
          <w:rFonts w:eastAsia="Times New Roman" w:asciiTheme="minorHAnsi" w:hAnsiTheme="minorHAnsi" w:cstheme="minorBidi"/>
          <w:bCs/>
          <w:i/>
        </w:rPr>
      </w:pPr>
      <w:r>
        <w:rPr>
          <w:rFonts w:eastAsia="Times New Roman" w:asciiTheme="minorHAnsi" w:hAnsiTheme="minorHAnsi" w:cstheme="minorBidi"/>
          <w:bCs/>
          <w:i/>
          <w:iCs/>
        </w:rPr>
        <w:t>SDG Week 2024 – “Accelerating Action for a Sustainable Future”</w:t>
      </w:r>
    </w:p>
    <w:p w:rsidRPr="003D7404" w:rsidR="00474C70" w:rsidP="00C76EC9" w:rsidRDefault="002C2609" w14:paraId="09B821F5" w14:textId="77777777">
      <w:pPr>
        <w:pStyle w:val="ListParagraph"/>
        <w:numPr>
          <w:ilvl w:val="0"/>
          <w:numId w:val="41"/>
        </w:numPr>
        <w:spacing w:before="120"/>
        <w:jc w:val="both"/>
        <w:rPr>
          <w:rFonts w:eastAsia="Times New Roman" w:asciiTheme="minorHAnsi" w:hAnsiTheme="minorHAnsi" w:cstheme="minorBidi"/>
          <w:bCs/>
          <w:i/>
        </w:rPr>
      </w:pPr>
      <w:r>
        <w:rPr>
          <w:rFonts w:eastAsia="Times New Roman" w:asciiTheme="minorHAnsi" w:hAnsiTheme="minorHAnsi" w:cstheme="minorBidi"/>
          <w:bCs/>
          <w:i/>
        </w:rPr>
        <w:t xml:space="preserve">SDG Week 2025 – “From </w:t>
      </w:r>
      <w:r>
        <w:rPr>
          <w:rFonts w:eastAsia="Times New Roman" w:asciiTheme="minorHAnsi" w:hAnsiTheme="minorHAnsi" w:cstheme="minorBidi"/>
          <w:bCs/>
          <w:i/>
          <w:iCs/>
        </w:rPr>
        <w:t>Commitments</w:t>
      </w:r>
      <w:r>
        <w:rPr>
          <w:rFonts w:eastAsia="Times New Roman" w:asciiTheme="minorHAnsi" w:hAnsiTheme="minorHAnsi" w:cstheme="minorBidi"/>
          <w:bCs/>
          <w:i/>
        </w:rPr>
        <w:t xml:space="preserve"> to </w:t>
      </w:r>
      <w:r>
        <w:rPr>
          <w:rFonts w:eastAsia="Times New Roman" w:asciiTheme="minorHAnsi" w:hAnsiTheme="minorHAnsi" w:cstheme="minorBidi"/>
          <w:bCs/>
          <w:i/>
          <w:iCs/>
        </w:rPr>
        <w:t>Impact: Accelerating</w:t>
      </w:r>
      <w:r>
        <w:rPr>
          <w:rFonts w:eastAsia="Times New Roman" w:asciiTheme="minorHAnsi" w:hAnsiTheme="minorHAnsi" w:cstheme="minorBidi"/>
          <w:bCs/>
          <w:i/>
        </w:rPr>
        <w:t xml:space="preserve"> the SDGs in </w:t>
      </w:r>
      <w:r>
        <w:rPr>
          <w:rFonts w:eastAsia="Times New Roman" w:asciiTheme="minorHAnsi" w:hAnsiTheme="minorHAnsi" w:cstheme="minorBidi"/>
          <w:bCs/>
          <w:i/>
          <w:iCs/>
        </w:rPr>
        <w:t>BiH</w:t>
      </w:r>
      <w:r>
        <w:rPr>
          <w:rFonts w:eastAsia="Times New Roman" w:asciiTheme="minorHAnsi" w:hAnsiTheme="minorHAnsi" w:cstheme="minorBidi"/>
          <w:bCs/>
          <w:i/>
        </w:rPr>
        <w:t>”</w:t>
      </w:r>
    </w:p>
    <w:p w:rsidRPr="003D7404" w:rsidR="00474C70" w:rsidP="00474C70" w:rsidRDefault="00474C70" w14:paraId="1AA4B791"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In 2022, SDG Week featured 15 events, engaging partners from government institutions, the UN, and civil society in discussions on sustainable finance, green transition, and local SDG implementation. The 2023 edition built upon this </w:t>
      </w:r>
      <w:r>
        <w:rPr>
          <w:rFonts w:eastAsia="Times New Roman" w:asciiTheme="minorHAnsi" w:hAnsiTheme="minorHAnsi" w:cstheme="minorBidi"/>
          <w:bCs/>
        </w:rPr>
        <w:t>foundation with 17 events, broadening both the thematic scope and geographic reach of the initiative. Activities were increasingly organized across different parts of Bosnia and Herzegovina, reflecting a wider ownership of the SDG agenda.</w:t>
      </w:r>
    </w:p>
    <w:p w:rsidRPr="003D7404" w:rsidR="009040B4" w:rsidP="00934731" w:rsidRDefault="00A45C99" w14:paraId="3C22FAFC"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The 2024 SDG Week marked a further step forward, featuring 20 events across Bosnia and Herzegovina and a diverse </w:t>
      </w:r>
      <w:proofErr w:type="spellStart"/>
      <w:r>
        <w:rPr>
          <w:rFonts w:eastAsia="Times New Roman" w:asciiTheme="minorHAnsi" w:hAnsiTheme="minorHAnsi" w:cstheme="minorBidi"/>
          <w:bCs/>
        </w:rPr>
        <w:t>programme</w:t>
      </w:r>
      <w:proofErr w:type="spellEnd"/>
      <w:r>
        <w:rPr>
          <w:rFonts w:eastAsia="Times New Roman" w:asciiTheme="minorHAnsi" w:hAnsiTheme="minorHAnsi" w:cstheme="minorBidi"/>
          <w:bCs/>
        </w:rPr>
        <w:t xml:space="preserve"> focused on youth, digital transformation, circular economy, gender equality, and health. The initiative became a true platform for dialogue and partnership, bringing together hundreds of participants and amplifying the voices of local actors in advancing the 2030 Agenda.</w:t>
      </w:r>
    </w:p>
    <w:p w:rsidRPr="003D7404" w:rsidR="00C310A5" w:rsidP="00934731" w:rsidRDefault="00934731" w14:paraId="25037010"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By 2025, the SDG Week reached its most extensive edition yet, with 30 events held across the country, including conferences, workshops, innovation camps, and public campaigns. This represents an almost 100% increase in the total number of events since 2022, with an average annual growth rate of approximately 25%, underscoring the expanding momentum and collective commitment to sustainable development in Bosnia and Herzegovina.</w:t>
      </w:r>
      <w:r>
        <w:rPr>
          <w:bCs/>
          <w:noProof/>
        </w:rPr>
        <w:t xml:space="preserve"> </w:t>
      </w:r>
    </w:p>
    <w:p w:rsidRPr="003D7404" w:rsidR="00934731" w:rsidP="00934731" w:rsidRDefault="00A21372" w14:paraId="0FEED97A"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This 2025 SDG Week in Bosnia and Herzegovina was held from 20 to 24 October. The Week brought together a record number of stakeholders through 30 events across the country, highlighting innovation, partnerships, and collective action as key drivers of sustainable development. Activities spanned from high-level dialogues on localizing the SDGs and inclusive growth to conferences on innovation, gender equality, digital transformation, education, and climate action. The Week culminated with the commemoration of United Nations Day, celebrating 80 years since the entry into force of the UN Charter. </w:t>
      </w:r>
    </w:p>
    <w:p w:rsidRPr="003D7404" w:rsidR="00A564E8" w:rsidP="00934731" w:rsidRDefault="00934731" w14:paraId="5919D19E"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Beyond numbers, this steady growth reflects a deepening engagement of diverse stakeholders and the continued success of coordinated efforts led by the SDG2BiH </w:t>
      </w:r>
      <w:proofErr w:type="spellStart"/>
      <w:r>
        <w:rPr>
          <w:rFonts w:eastAsia="Times New Roman" w:asciiTheme="minorHAnsi" w:hAnsiTheme="minorHAnsi" w:cstheme="minorBidi"/>
          <w:bCs/>
        </w:rPr>
        <w:t>programme</w:t>
      </w:r>
      <w:proofErr w:type="spellEnd"/>
      <w:r>
        <w:rPr>
          <w:rFonts w:eastAsia="Times New Roman" w:asciiTheme="minorHAnsi" w:hAnsiTheme="minorHAnsi" w:cstheme="minorBidi"/>
          <w:bCs/>
        </w:rPr>
        <w:t xml:space="preserve"> and the UN Country Team. Each year, the SDG Week has evolved not only in scale but also in substance - strengthening cooperation between institutions, fostering youth participation, engaging the private sector, and maintaining its commitment to sustainability by offsetting its carbon footprint through the TvojCO2.ba platform.</w:t>
      </w:r>
    </w:p>
    <w:p w:rsidR="00303423" w:rsidP="0039216E" w:rsidRDefault="00474C70" w14:paraId="4E8B925C"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Overall, the 2022 - 2025 period demonstrated how the SDG Week has matured into a flagship national platform for dialogue, partnership, and collective action towards the 2030 Agenda - serving as both a symbol of continuity and a driver of growing public and institutional engagement in sustainable development.</w:t>
      </w:r>
    </w:p>
    <w:p w:rsidRPr="003D7404" w:rsidR="00195E35" w:rsidP="0039216E" w:rsidRDefault="00195E35" w14:paraId="53AF19F7" w14:textId="77777777">
      <w:pPr>
        <w:spacing w:before="120"/>
        <w:jc w:val="both"/>
        <w:rPr>
          <w:rFonts w:eastAsia="Times New Roman" w:asciiTheme="minorHAnsi" w:hAnsiTheme="minorHAnsi" w:cstheme="minorBidi"/>
          <w:bCs/>
        </w:rPr>
      </w:pPr>
    </w:p>
    <w:tbl>
      <w:tblPr>
        <w:tblpPr w:leftFromText="180" w:rightFromText="180" w:vertAnchor="text" w:horzAnchor="margin" w:tblpY="47"/>
        <w:tblW w:w="0" w:type="auto"/>
        <w:tblLook w:val="04A0" w:firstRow="1" w:lastRow="0" w:firstColumn="1" w:lastColumn="0" w:noHBand="0" w:noVBand="1"/>
      </w:tblPr>
      <w:tblGrid>
        <w:gridCol w:w="3360"/>
        <w:gridCol w:w="3360"/>
        <w:gridCol w:w="3360"/>
      </w:tblGrid>
      <w:tr w:rsidR="00195E35" w:rsidTr="00195E35" w14:paraId="60523941" w14:textId="77777777">
        <w:tc>
          <w:tcPr>
            <w:tcW w:w="3360" w:type="dxa"/>
            <w:shd w:val="clear" w:color="auto" w:fill="00689D"/>
          </w:tcPr>
          <w:p w:rsidR="00195E35" w:rsidP="00195E35" w:rsidRDefault="00195E35" w14:paraId="5E696671" w14:textId="77777777">
            <w:pPr>
              <w:jc w:val="center"/>
            </w:pPr>
            <w:r>
              <w:rPr>
                <w:b/>
                <w:color w:val="FFFFFF"/>
                <w:sz w:val="14"/>
              </w:rPr>
              <w:t>EVENTS (2025)</w:t>
            </w:r>
          </w:p>
        </w:tc>
        <w:tc>
          <w:tcPr>
            <w:tcW w:w="3360" w:type="dxa"/>
            <w:shd w:val="clear" w:color="auto" w:fill="F99D26"/>
          </w:tcPr>
          <w:p w:rsidR="00195E35" w:rsidP="00195E35" w:rsidRDefault="00195E35" w14:paraId="0C8BE667" w14:textId="77777777">
            <w:pPr>
              <w:jc w:val="center"/>
            </w:pPr>
            <w:r>
              <w:rPr>
                <w:b/>
                <w:color w:val="FFFFFF"/>
                <w:sz w:val="14"/>
              </w:rPr>
              <w:t>GROWTH</w:t>
            </w:r>
          </w:p>
        </w:tc>
        <w:tc>
          <w:tcPr>
            <w:tcW w:w="3360" w:type="dxa"/>
            <w:shd w:val="clear" w:color="auto" w:fill="268D49"/>
          </w:tcPr>
          <w:p w:rsidR="00195E35" w:rsidP="00195E35" w:rsidRDefault="00195E35" w14:paraId="6E12BFBA" w14:textId="77777777">
            <w:pPr>
              <w:jc w:val="center"/>
            </w:pPr>
            <w:r>
              <w:rPr>
                <w:b/>
                <w:color w:val="FFFFFF"/>
                <w:sz w:val="14"/>
              </w:rPr>
              <w:t>IMPRESSIONS</w:t>
            </w:r>
          </w:p>
        </w:tc>
      </w:tr>
      <w:tr w:rsidR="00195E35" w:rsidTr="00195E35" w14:paraId="5E4FA47B" w14:textId="77777777">
        <w:tc>
          <w:tcPr>
            <w:tcW w:w="3360" w:type="dxa"/>
            <w:shd w:val="clear" w:color="auto" w:fill="F9F9F9"/>
          </w:tcPr>
          <w:p w:rsidR="00195E35" w:rsidP="00195E35" w:rsidRDefault="00195E35" w14:paraId="4D6B6807" w14:textId="77777777">
            <w:pPr>
              <w:jc w:val="center"/>
            </w:pPr>
            <w:r>
              <w:rPr>
                <w:b/>
                <w:sz w:val="24"/>
              </w:rPr>
              <w:t>30</w:t>
            </w:r>
          </w:p>
        </w:tc>
        <w:tc>
          <w:tcPr>
            <w:tcW w:w="3360" w:type="dxa"/>
            <w:shd w:val="clear" w:color="auto" w:fill="F9F9F9"/>
          </w:tcPr>
          <w:p w:rsidR="00195E35" w:rsidP="00195E35" w:rsidRDefault="00195E35" w14:paraId="2C82A039" w14:textId="77777777">
            <w:pPr>
              <w:jc w:val="center"/>
            </w:pPr>
            <w:r>
              <w:rPr>
                <w:b/>
                <w:sz w:val="24"/>
              </w:rPr>
              <w:t>25% AVG</w:t>
            </w:r>
          </w:p>
        </w:tc>
        <w:tc>
          <w:tcPr>
            <w:tcW w:w="3360" w:type="dxa"/>
            <w:shd w:val="clear" w:color="auto" w:fill="F9F9F9"/>
          </w:tcPr>
          <w:p w:rsidR="00195E35" w:rsidP="00195E35" w:rsidRDefault="00195E35" w14:paraId="2A496FB8" w14:textId="77777777">
            <w:pPr>
              <w:jc w:val="center"/>
            </w:pPr>
            <w:r>
              <w:rPr>
                <w:b/>
                <w:sz w:val="24"/>
              </w:rPr>
              <w:t>1.5M+</w:t>
            </w:r>
          </w:p>
        </w:tc>
      </w:tr>
    </w:tbl>
    <w:p w:rsidR="00347179" w:rsidP="0039216E" w:rsidRDefault="00347179" w14:paraId="5B7AA5D7" w14:textId="77777777">
      <w:pPr>
        <w:jc w:val="both"/>
        <w:rPr>
          <w:rFonts w:eastAsia="Times New Roman" w:asciiTheme="minorHAnsi" w:hAnsiTheme="minorHAnsi" w:cstheme="minorBidi"/>
          <w:bCs/>
        </w:rPr>
      </w:pPr>
    </w:p>
    <w:p w:rsidRPr="003E710B" w:rsidR="00CF2CBC" w:rsidP="00CF2CBC" w:rsidRDefault="00CF2CBC" w14:paraId="34A70C79" w14:textId="5A8C12D7">
      <w:pPr>
        <w:pStyle w:val="Heading3"/>
        <w:pBdr>
          <w:bottom w:val="single" w:color="0468B1" w:sz="4" w:space="1"/>
        </w:pBdr>
        <w:spacing w:before="240"/>
        <w:rPr>
          <w:rFonts w:cstheme="majorHAnsi"/>
          <w:b/>
          <w:color w:val="auto"/>
        </w:rPr>
      </w:pPr>
      <w:r>
        <w:rPr>
          <w:rFonts w:cstheme="majorHAnsi"/>
          <w:b/>
          <w:color w:val="0468B1"/>
          <w:sz w:val="26"/>
        </w:rPr>
        <w:t>1.3.3. No Nation Fashion (NNF)</w:t>
      </w:r>
    </w:p>
    <w:p w:rsidR="00CF2CBC" w:rsidP="0039216E" w:rsidRDefault="00CF2CBC" w14:paraId="483827B7" w14:textId="77777777">
      <w:pPr>
        <w:jc w:val="both"/>
        <w:rPr>
          <w:rFonts w:eastAsia="Times New Roman" w:asciiTheme="minorHAnsi" w:hAnsiTheme="minorHAnsi" w:cstheme="minorBidi"/>
          <w:bCs/>
        </w:rPr>
      </w:pPr>
    </w:p>
    <w:p w:rsidRPr="00E604DB" w:rsidR="00737B1C" w:rsidP="00737B1C" w:rsidRDefault="00737B1C" w14:paraId="2C0F8AA2" w14:textId="559ED2F8">
      <w:pPr>
        <w:jc w:val="both"/>
        <w:rPr>
          <w:rFonts w:eastAsia="Times New Roman" w:asciiTheme="minorHAnsi" w:hAnsiTheme="minorHAnsi" w:cstheme="minorHAnsi"/>
          <w:color w:val="000000"/>
        </w:rPr>
      </w:pPr>
      <w:bookmarkStart w:name="_Toc221887265" w:id="30"/>
      <w:r w:rsidRPr="00E604DB">
        <w:rPr>
          <w:rFonts w:eastAsia="Times New Roman" w:asciiTheme="minorHAnsi" w:hAnsiTheme="minorHAnsi" w:cstheme="minorHAnsi"/>
          <w:color w:val="000000"/>
        </w:rPr>
        <w:t xml:space="preserve">The No Nation Fashion (NNF) initiative, a flagship </w:t>
      </w:r>
      <w:proofErr w:type="spellStart"/>
      <w:r w:rsidRPr="00E604DB">
        <w:rPr>
          <w:rFonts w:eastAsia="Times New Roman" w:asciiTheme="minorHAnsi" w:hAnsiTheme="minorHAnsi" w:cstheme="minorHAnsi"/>
          <w:color w:val="000000"/>
        </w:rPr>
        <w:t>programme</w:t>
      </w:r>
      <w:proofErr w:type="spellEnd"/>
      <w:r w:rsidRPr="00E604DB">
        <w:rPr>
          <w:rFonts w:eastAsia="Times New Roman" w:asciiTheme="minorHAnsi" w:hAnsiTheme="minorHAnsi" w:cstheme="minorHAnsi"/>
          <w:color w:val="000000"/>
        </w:rPr>
        <w:t xml:space="preserve"> of IOM Bosnia and Herzegovina, aimed to promote social inclusion and sustainable fashion through creative engagement with migrants and local communities. The initiative contributed to the </w:t>
      </w:r>
      <w:proofErr w:type="gramStart"/>
      <w:r w:rsidRPr="00E604DB">
        <w:rPr>
          <w:rFonts w:eastAsia="Times New Roman" w:asciiTheme="minorHAnsi" w:hAnsiTheme="minorHAnsi" w:cstheme="minorHAnsi"/>
          <w:color w:val="000000"/>
        </w:rPr>
        <w:t>Agenda</w:t>
      </w:r>
      <w:proofErr w:type="gramEnd"/>
      <w:r w:rsidRPr="00E604DB">
        <w:rPr>
          <w:rFonts w:eastAsia="Times New Roman" w:asciiTheme="minorHAnsi" w:hAnsiTheme="minorHAnsi" w:cstheme="minorHAnsi"/>
          <w:color w:val="000000"/>
        </w:rPr>
        <w:t xml:space="preserve"> 2030 through recognition of migration as a driver of development through skills, entrepreneurship, cultural diversity and strengthened social networks.</w:t>
      </w:r>
    </w:p>
    <w:p w:rsidRPr="00E604DB" w:rsidR="00EC646D" w:rsidP="00737B1C" w:rsidRDefault="00EC646D" w14:paraId="632679C3" w14:textId="77777777">
      <w:pPr>
        <w:jc w:val="both"/>
        <w:rPr>
          <w:rFonts w:eastAsia="Times New Roman" w:asciiTheme="minorHAnsi" w:hAnsiTheme="minorHAnsi" w:cstheme="minorHAnsi"/>
          <w:color w:val="000000"/>
        </w:rPr>
      </w:pPr>
    </w:p>
    <w:p w:rsidRPr="00AD7A5F" w:rsidR="00737B1C" w:rsidP="00737B1C" w:rsidRDefault="00737B1C" w14:paraId="6B462551" w14:textId="094CCCAD">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Over the ten</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month implementation period (May 2025 – February 2026), the Programme enabled NNF to deepen its collaboration with designers, artisans, education institutions and civil society organizations, reinforcing SDG achievement by linking social inclusion with sustainable, locally rooted creative initiatives. Between May 2025 and February 2026, NNF organized 132 sewing, tailoring and craft sessions across three Temporary Reception </w:t>
      </w:r>
      <w:proofErr w:type="spellStart"/>
      <w:r w:rsidRPr="00E604DB">
        <w:rPr>
          <w:rFonts w:eastAsia="Times New Roman" w:asciiTheme="minorHAnsi" w:hAnsiTheme="minorHAnsi" w:cstheme="minorHAnsi"/>
          <w:color w:val="000000"/>
        </w:rPr>
        <w:t>Centres</w:t>
      </w:r>
      <w:proofErr w:type="spellEnd"/>
      <w:r w:rsidRPr="00E604DB">
        <w:rPr>
          <w:rFonts w:eastAsia="Times New Roman" w:asciiTheme="minorHAnsi" w:hAnsiTheme="minorHAnsi" w:cstheme="minorHAnsi"/>
          <w:color w:val="000000"/>
        </w:rPr>
        <w:t xml:space="preserve"> (TRCs), reaching approximately 200 unique participants and generating over 4,100 participations. These structured sessions provided a safe space for learning, </w:t>
      </w:r>
      <w:proofErr w:type="gramStart"/>
      <w:r w:rsidRPr="00E604DB">
        <w:rPr>
          <w:rFonts w:eastAsia="Times New Roman" w:asciiTheme="minorHAnsi" w:hAnsiTheme="minorHAnsi" w:cstheme="minorHAnsi"/>
          <w:color w:val="000000"/>
        </w:rPr>
        <w:t>interaction</w:t>
      </w:r>
      <w:proofErr w:type="gramEnd"/>
      <w:r w:rsidRPr="00E604DB">
        <w:rPr>
          <w:rFonts w:eastAsia="Times New Roman" w:asciiTheme="minorHAnsi" w:hAnsiTheme="minorHAnsi" w:cstheme="minorHAnsi"/>
          <w:color w:val="000000"/>
        </w:rPr>
        <w:t xml:space="preserve"> and creative expression. Through combined training and production, migrants contributed to the creation of textile and craft items, including bags, accessories, soaps, </w:t>
      </w:r>
      <w:proofErr w:type="gramStart"/>
      <w:r w:rsidRPr="00E604DB">
        <w:rPr>
          <w:rFonts w:eastAsia="Times New Roman" w:asciiTheme="minorHAnsi" w:hAnsiTheme="minorHAnsi" w:cstheme="minorHAnsi"/>
          <w:color w:val="000000"/>
        </w:rPr>
        <w:t>candles</w:t>
      </w:r>
      <w:proofErr w:type="gramEnd"/>
      <w:r w:rsidRPr="00E604DB">
        <w:rPr>
          <w:rFonts w:eastAsia="Times New Roman" w:asciiTheme="minorHAnsi" w:hAnsiTheme="minorHAnsi" w:cstheme="minorHAnsi"/>
          <w:color w:val="000000"/>
        </w:rPr>
        <w:t xml:space="preserve"> and small home décor products, using recycled and upcycled materials, thereby integrating circular economy practices into everyday work.</w:t>
      </w:r>
    </w:p>
    <w:p w:rsidRPr="00AD7A5F" w:rsidR="00643051" w:rsidP="00737B1C" w:rsidRDefault="00643051" w14:paraId="7739DA06" w14:textId="77777777">
      <w:pPr>
        <w:jc w:val="both"/>
        <w:rPr>
          <w:rFonts w:eastAsia="Times New Roman" w:asciiTheme="minorHAnsi" w:hAnsiTheme="minorHAnsi" w:cstheme="minorHAnsi"/>
          <w:color w:val="000000"/>
        </w:rPr>
      </w:pPr>
    </w:p>
    <w:p w:rsidRPr="00AD7A5F" w:rsidR="00643051" w:rsidP="00737B1C" w:rsidRDefault="00BE12D4" w14:paraId="7590B174" w14:textId="0248797E">
      <w:pPr>
        <w:jc w:val="both"/>
        <w:rPr>
          <w:rFonts w:eastAsia="Times New Roman" w:asciiTheme="minorHAnsi" w:hAnsiTheme="minorHAnsi" w:cstheme="minorHAnsi"/>
          <w:color w:val="000000"/>
        </w:rPr>
      </w:pPr>
      <w:r>
        <w:rPr>
          <w:noProof/>
        </w:rPr>
        <w:drawing>
          <wp:inline distT="0" distB="0" distL="0" distR="0" wp14:anchorId="7C8817D6" wp14:editId="411BD7BE">
            <wp:extent cx="1615779" cy="2419189"/>
            <wp:effectExtent l="0" t="0" r="3810" b="635"/>
            <wp:docPr id="1" name="Picture 1" descr="A person drawing on a pap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drawing on a paper  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5607" cy="2478821"/>
                    </a:xfrm>
                    <a:prstGeom prst="rect">
                      <a:avLst/>
                    </a:prstGeom>
                    <a:noFill/>
                    <a:ln>
                      <a:noFill/>
                    </a:ln>
                  </pic:spPr>
                </pic:pic>
              </a:graphicData>
            </a:graphic>
          </wp:inline>
        </w:drawing>
      </w:r>
      <w:r>
        <w:rPr>
          <w:noProof/>
        </w:rPr>
        <w:t xml:space="preserve">       </w:t>
      </w:r>
      <w:r>
        <w:rPr>
          <w:noProof/>
        </w:rPr>
        <w:drawing>
          <wp:inline distT="0" distB="0" distL="0" distR="0" wp14:anchorId="7A3B22A0" wp14:editId="4CD27694">
            <wp:extent cx="3630833" cy="2425239"/>
            <wp:effectExtent l="0" t="0" r="8255" b="0"/>
            <wp:docPr id="2" name="Picture 2" descr="A group of people in a roo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in a room  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59314" cy="2444263"/>
                    </a:xfrm>
                    <a:prstGeom prst="rect">
                      <a:avLst/>
                    </a:prstGeom>
                    <a:noFill/>
                    <a:ln>
                      <a:noFill/>
                    </a:ln>
                  </pic:spPr>
                </pic:pic>
              </a:graphicData>
            </a:graphic>
          </wp:inline>
        </w:drawing>
      </w:r>
    </w:p>
    <w:p w:rsidRPr="00AD7A5F" w:rsidR="00E31508" w:rsidP="00CD038C" w:rsidRDefault="00D40FA5" w14:paraId="101669C4" w14:textId="576B986F">
      <w:pPr>
        <w:pStyle w:val="NoSpacing"/>
        <w:rPr>
          <w:rFonts w:asciiTheme="minorHAnsi" w:hAnsiTheme="minorHAnsi" w:cstheme="minorHAnsi"/>
          <w:i/>
          <w:iCs/>
          <w:color w:val="0070C0"/>
          <w:sz w:val="18"/>
          <w:szCs w:val="18"/>
        </w:rPr>
      </w:pPr>
      <w:proofErr w:type="gramStart"/>
      <w:r>
        <w:rPr>
          <w:rFonts w:asciiTheme="minorHAnsi" w:hAnsiTheme="minorHAnsi" w:cstheme="minorHAnsi"/>
          <w:i/>
          <w:iCs/>
          <w:color w:val="0070C0"/>
          <w:sz w:val="18"/>
          <w:szCs w:val="18"/>
        </w:rPr>
        <w:t>Image</w:t>
      </w:r>
      <w:proofErr w:type="gramEnd"/>
      <w:r>
        <w:rPr>
          <w:rFonts w:asciiTheme="minorHAnsi" w:hAnsiTheme="minorHAnsi" w:cstheme="minorHAnsi"/>
          <w:i/>
          <w:iCs/>
          <w:color w:val="0070C0"/>
          <w:sz w:val="18"/>
          <w:szCs w:val="18"/>
        </w:rPr>
        <w:t xml:space="preserve"> 1 and 2 Workshop at Temporary Reception Center </w:t>
      </w:r>
      <w:proofErr w:type="spellStart"/>
      <w:r>
        <w:rPr>
          <w:rFonts w:asciiTheme="minorHAnsi" w:hAnsiTheme="minorHAnsi" w:cstheme="minorHAnsi"/>
          <w:i/>
          <w:iCs/>
          <w:color w:val="0070C0"/>
          <w:sz w:val="18"/>
          <w:szCs w:val="18"/>
        </w:rPr>
        <w:t>Ušivak</w:t>
      </w:r>
      <w:proofErr w:type="spellEnd"/>
      <w:r>
        <w:rPr>
          <w:rFonts w:asciiTheme="minorHAnsi" w:hAnsiTheme="minorHAnsi" w:cstheme="minorHAnsi"/>
          <w:i/>
          <w:iCs/>
          <w:color w:val="0070C0"/>
          <w:sz w:val="18"/>
          <w:szCs w:val="18"/>
        </w:rPr>
        <w:t xml:space="preserve"> © IOM 2026</w:t>
      </w:r>
    </w:p>
    <w:p w:rsidRPr="00AD7A5F" w:rsidR="00E31508" w:rsidP="00737B1C" w:rsidRDefault="00E31508" w14:paraId="3CBD19EF" w14:textId="77777777">
      <w:pPr>
        <w:jc w:val="both"/>
        <w:rPr>
          <w:rFonts w:eastAsia="Times New Roman" w:asciiTheme="minorHAnsi" w:hAnsiTheme="minorHAnsi" w:cstheme="minorHAnsi"/>
          <w:color w:val="000000"/>
        </w:rPr>
      </w:pPr>
    </w:p>
    <w:p w:rsidRPr="00E604DB" w:rsidR="00737B1C" w:rsidP="00737B1C" w:rsidRDefault="00737B1C" w14:paraId="4A7871DB" w14:textId="46E43B20">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Guidance from a Sarajevo</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based designer, a textile engineering expert from </w:t>
      </w:r>
      <w:proofErr w:type="spellStart"/>
      <w:r w:rsidRPr="00E604DB">
        <w:rPr>
          <w:rFonts w:eastAsia="Times New Roman" w:asciiTheme="minorHAnsi" w:hAnsiTheme="minorHAnsi" w:cstheme="minorHAnsi"/>
          <w:color w:val="000000"/>
        </w:rPr>
        <w:t>Bihać</w:t>
      </w:r>
      <w:proofErr w:type="spellEnd"/>
      <w:r w:rsidRPr="00E604DB">
        <w:rPr>
          <w:rFonts w:eastAsia="Times New Roman" w:asciiTheme="minorHAnsi" w:hAnsiTheme="minorHAnsi" w:cstheme="minorHAnsi"/>
          <w:color w:val="000000"/>
        </w:rPr>
        <w:t xml:space="preserve"> and dedicated TRC staff ensured consistent technical quality and sustained engagement. The initiative also supported individual learning pathways: two former migrant beneficiaries completed an online Fashion Studio course with the International Fashion Academy Paris, gaining exposure to professional illustration, </w:t>
      </w:r>
      <w:proofErr w:type="gramStart"/>
      <w:r w:rsidRPr="00E604DB">
        <w:rPr>
          <w:rFonts w:eastAsia="Times New Roman" w:asciiTheme="minorHAnsi" w:hAnsiTheme="minorHAnsi" w:cstheme="minorHAnsi"/>
          <w:color w:val="000000"/>
        </w:rPr>
        <w:t>textile</w:t>
      </w:r>
      <w:proofErr w:type="gramEnd"/>
      <w:r w:rsidRPr="00E604DB">
        <w:rPr>
          <w:rFonts w:eastAsia="Times New Roman" w:asciiTheme="minorHAnsi" w:hAnsiTheme="minorHAnsi" w:cstheme="minorHAnsi"/>
          <w:color w:val="000000"/>
        </w:rPr>
        <w:t xml:space="preserve"> and garment</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construction concepts.</w:t>
      </w:r>
    </w:p>
    <w:p w:rsidRPr="00E604DB" w:rsidR="001039B0" w:rsidP="00737B1C" w:rsidRDefault="001039B0" w14:paraId="65F6772A" w14:textId="77777777">
      <w:pPr>
        <w:jc w:val="both"/>
        <w:rPr>
          <w:rFonts w:eastAsia="Times New Roman" w:asciiTheme="minorHAnsi" w:hAnsiTheme="minorHAnsi" w:cstheme="minorHAnsi"/>
          <w:color w:val="000000"/>
        </w:rPr>
      </w:pPr>
    </w:p>
    <w:p w:rsidRPr="00E604DB" w:rsidR="00737B1C" w:rsidP="00737B1C" w:rsidRDefault="00737B1C" w14:paraId="09B4C165" w14:textId="45E5B5A2">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 xml:space="preserve">During this period, NNF developed a new capsule collection consisting of 25 models and 16 complete outfits. Designed in neutral, timeless tones, the collection promotes longevity and conscious consumption. Its visual campaign featured real women from diverse backgrounds, underscoring the brand’s focus on authenticity, representation and </w:t>
      </w:r>
      <w:r w:rsidRPr="007E43CE">
        <w:t xml:space="preserve">dignity (link: </w:t>
      </w:r>
      <w:hyperlink w:history="1" r:id="rId22">
        <w:proofErr w:type="spellStart"/>
        <w:r w:rsidRPr="007E43CE">
          <w:t>Ako</w:t>
        </w:r>
        <w:proofErr w:type="spellEnd"/>
        <w:r w:rsidRPr="007E43CE">
          <w:t xml:space="preserve"> </w:t>
        </w:r>
        <w:proofErr w:type="spellStart"/>
        <w:r w:rsidRPr="007E43CE">
          <w:t>ih</w:t>
        </w:r>
        <w:proofErr w:type="spellEnd"/>
        <w:r w:rsidRPr="007E43CE">
          <w:t xml:space="preserve"> </w:t>
        </w:r>
        <w:proofErr w:type="spellStart"/>
        <w:r w:rsidRPr="007E43CE">
          <w:t>još</w:t>
        </w:r>
        <w:proofErr w:type="spellEnd"/>
        <w:r w:rsidRPr="007E43CE">
          <w:t xml:space="preserve"> </w:t>
        </w:r>
        <w:proofErr w:type="spellStart"/>
        <w:r w:rsidRPr="007E43CE">
          <w:t>niste</w:t>
        </w:r>
        <w:proofErr w:type="spellEnd"/>
        <w:r w:rsidRPr="007E43CE">
          <w:t xml:space="preserve"> </w:t>
        </w:r>
        <w:proofErr w:type="spellStart"/>
        <w:r w:rsidRPr="007E43CE">
          <w:t>primijetili</w:t>
        </w:r>
        <w:proofErr w:type="spellEnd"/>
        <w:r w:rsidRPr="007E43CE">
          <w:t xml:space="preserve">, </w:t>
        </w:r>
        <w:proofErr w:type="spellStart"/>
        <w:r w:rsidRPr="007E43CE">
          <w:t>vrijeme</w:t>
        </w:r>
        <w:proofErr w:type="spellEnd"/>
        <w:r w:rsidRPr="007E43CE">
          <w:t xml:space="preserve"> je: </w:t>
        </w:r>
        <w:proofErr w:type="spellStart"/>
        <w:r w:rsidRPr="007E43CE">
          <w:t>Brend</w:t>
        </w:r>
        <w:proofErr w:type="spellEnd"/>
        <w:r w:rsidRPr="007E43CE">
          <w:t xml:space="preserve"> </w:t>
        </w:r>
        <w:proofErr w:type="spellStart"/>
        <w:r w:rsidRPr="007E43CE">
          <w:t>iz</w:t>
        </w:r>
        <w:proofErr w:type="spellEnd"/>
        <w:r w:rsidRPr="007E43CE">
          <w:t xml:space="preserve"> BiH koji je </w:t>
        </w:r>
        <w:proofErr w:type="spellStart"/>
        <w:r w:rsidRPr="007E43CE">
          <w:t>stigao</w:t>
        </w:r>
        <w:proofErr w:type="spellEnd"/>
        <w:r w:rsidRPr="007E43CE">
          <w:t xml:space="preserve"> do New </w:t>
        </w:r>
        <w:proofErr w:type="spellStart"/>
        <w:r w:rsidRPr="007E43CE">
          <w:t>Yorka</w:t>
        </w:r>
        <w:proofErr w:type="spellEnd"/>
      </w:hyperlink>
      <w:r w:rsidRPr="007E43CE">
        <w:t>). N</w:t>
      </w:r>
      <w:r w:rsidRPr="00EA2EF7">
        <w:rPr>
          <w:rFonts w:eastAsia="Times New Roman" w:asciiTheme="minorHAnsi" w:hAnsiTheme="minorHAnsi" w:cstheme="minorHAnsi"/>
          <w:color w:val="000000"/>
        </w:rPr>
        <w:t>NF further expanded its creative</w:t>
      </w:r>
      <w:r w:rsidRPr="00E604DB">
        <w:rPr>
          <w:rFonts w:eastAsia="Times New Roman" w:asciiTheme="minorHAnsi" w:hAnsiTheme="minorHAnsi" w:cstheme="minorHAnsi"/>
          <w:color w:val="000000"/>
        </w:rPr>
        <w:t xml:space="preserve"> experimentation through a collaboration with a local </w:t>
      </w:r>
      <w:proofErr w:type="spellStart"/>
      <w:r w:rsidRPr="00E604DB">
        <w:rPr>
          <w:rFonts w:eastAsia="Times New Roman" w:asciiTheme="minorHAnsi" w:hAnsiTheme="minorHAnsi" w:cstheme="minorHAnsi"/>
          <w:color w:val="000000"/>
        </w:rPr>
        <w:t>biodesigner</w:t>
      </w:r>
      <w:proofErr w:type="spellEnd"/>
      <w:r w:rsidRPr="00E604DB">
        <w:rPr>
          <w:rFonts w:eastAsia="Times New Roman" w:asciiTheme="minorHAnsi" w:hAnsiTheme="minorHAnsi" w:cstheme="minorHAnsi"/>
          <w:color w:val="000000"/>
        </w:rPr>
        <w:t>, resulting in an original line of eggshell</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based candle holders that demonstrated how sustainable fashion can intersect with biomaterial innovation.</w:t>
      </w:r>
    </w:p>
    <w:p w:rsidRPr="00E604DB" w:rsidR="00D825ED" w:rsidP="00737B1C" w:rsidRDefault="00D825ED" w14:paraId="0CEBE169" w14:textId="77777777">
      <w:pPr>
        <w:jc w:val="both"/>
        <w:rPr>
          <w:rFonts w:eastAsia="Times New Roman" w:asciiTheme="minorHAnsi" w:hAnsiTheme="minorHAnsi" w:cstheme="minorHAnsi"/>
          <w:color w:val="000000"/>
        </w:rPr>
      </w:pPr>
    </w:p>
    <w:p w:rsidRPr="00E604DB" w:rsidR="0003640C" w:rsidP="00842DC6" w:rsidRDefault="00737B1C" w14:paraId="23098758" w14:textId="77777777">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A series of public events strengthened NNF’s visibility and fostered connections with private</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sector partners and cultural actors. At the EU Fashion Passport event in September 2025, international </w:t>
      </w:r>
      <w:proofErr w:type="gramStart"/>
      <w:r w:rsidRPr="00E604DB">
        <w:rPr>
          <w:rFonts w:eastAsia="Times New Roman" w:asciiTheme="minorHAnsi" w:hAnsiTheme="minorHAnsi" w:cstheme="minorHAnsi"/>
          <w:color w:val="000000"/>
        </w:rPr>
        <w:t>designers</w:t>
      </w:r>
      <w:proofErr w:type="gramEnd"/>
      <w:r w:rsidRPr="00E604DB">
        <w:rPr>
          <w:rFonts w:eastAsia="Times New Roman" w:asciiTheme="minorHAnsi" w:hAnsiTheme="minorHAnsi" w:cstheme="minorHAnsi"/>
          <w:color w:val="000000"/>
        </w:rPr>
        <w:t xml:space="preserve"> and migrants co</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created T</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shirts during a workshop in TRC </w:t>
      </w:r>
      <w:proofErr w:type="spellStart"/>
      <w:r w:rsidRPr="00E604DB">
        <w:rPr>
          <w:rFonts w:eastAsia="Times New Roman" w:asciiTheme="minorHAnsi" w:hAnsiTheme="minorHAnsi" w:cstheme="minorHAnsi"/>
          <w:color w:val="000000"/>
        </w:rPr>
        <w:t>Ušivak</w:t>
      </w:r>
      <w:proofErr w:type="spellEnd"/>
      <w:r w:rsidRPr="00E604DB">
        <w:rPr>
          <w:rFonts w:eastAsia="Times New Roman" w:asciiTheme="minorHAnsi" w:hAnsiTheme="minorHAnsi" w:cstheme="minorHAnsi"/>
          <w:color w:val="000000"/>
        </w:rPr>
        <w:t>, later presented on the runway. In early October, the Imagine Migration activity produced 20 AI</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enhanced portrait visuals combining personal stories with NNF garments; these were exhibited on International Migrants Day</w:t>
      </w:r>
      <w:r w:rsidRPr="00E604DB">
        <w:rPr>
          <w:rFonts w:eastAsia="Times New Roman" w:asciiTheme="minorHAnsi" w:hAnsiTheme="minorHAnsi" w:cstheme="minorHAnsi"/>
          <w:i/>
          <w:iCs/>
          <w:color w:val="000000"/>
        </w:rPr>
        <w:t xml:space="preserve"> </w:t>
      </w:r>
      <w:r w:rsidRPr="00E604DB">
        <w:rPr>
          <w:rFonts w:eastAsia="Times New Roman" w:asciiTheme="minorHAnsi" w:hAnsiTheme="minorHAnsi" w:cstheme="minorHAnsi"/>
          <w:color w:val="000000"/>
        </w:rPr>
        <w:t xml:space="preserve">and integrated into the new NNF website, enriching the initiative’s digital storytelling. </w:t>
      </w:r>
    </w:p>
    <w:p w:rsidRPr="00AD7A5F" w:rsidR="00737B1C" w:rsidP="00842DC6" w:rsidRDefault="00773EBA" w14:paraId="766BE334" w14:textId="3F99F88F">
      <w:pPr>
        <w:jc w:val="both"/>
        <w:rPr>
          <w:rFonts w:eastAsia="Times New Roman"/>
        </w:rPr>
      </w:pPr>
      <w:r w:rsidRPr="00E604DB">
        <w:rPr>
          <w:rFonts w:eastAsia="Times New Roman" w:asciiTheme="minorHAnsi" w:hAnsiTheme="minorHAnsi" w:cstheme="minorHAnsi"/>
          <w:color w:val="000000"/>
        </w:rPr>
        <w:t>(</w:t>
      </w:r>
      <w:proofErr w:type="gramStart"/>
      <w:r w:rsidRPr="00E604DB">
        <w:rPr>
          <w:rFonts w:eastAsia="Times New Roman" w:asciiTheme="minorHAnsi" w:hAnsiTheme="minorHAnsi" w:cstheme="minorHAnsi"/>
          <w:color w:val="000000"/>
        </w:rPr>
        <w:t>link</w:t>
      </w:r>
      <w:proofErr w:type="gramEnd"/>
      <w:r w:rsidRPr="00E604DB">
        <w:rPr>
          <w:rFonts w:eastAsia="Times New Roman" w:asciiTheme="minorHAnsi" w:hAnsiTheme="minorHAnsi" w:cstheme="minorHAnsi"/>
          <w:color w:val="000000"/>
        </w:rPr>
        <w:t xml:space="preserve">: </w:t>
      </w:r>
      <w:hyperlink w:history="1" r:id="rId23">
        <w:r w:rsidRPr="00E604DB">
          <w:rPr>
            <w:rStyle w:val="Hyperlink"/>
            <w:rFonts w:eastAsia="Times New Roman"/>
          </w:rPr>
          <w:t>https://www.instagram.com/p/DSag4bBiDFG/?img_index=1&amp;igsh=Nzljam4xa2RwamJ1</w:t>
        </w:r>
      </w:hyperlink>
      <w:r w:rsidRPr="00E604DB">
        <w:rPr>
          <w:rFonts w:eastAsia="Times New Roman"/>
        </w:rPr>
        <w:t>)</w:t>
      </w:r>
    </w:p>
    <w:p w:rsidRPr="00AD7A5F" w:rsidR="001A4C2E" w:rsidP="00306C37" w:rsidRDefault="001A4C2E" w14:paraId="17E14A89" w14:textId="77777777">
      <w:pPr>
        <w:rPr>
          <w:rFonts w:eastAsia="Times New Roman"/>
        </w:rPr>
      </w:pPr>
    </w:p>
    <w:p w:rsidRPr="00AD7A5F" w:rsidR="00265812" w:rsidP="00306C37" w:rsidRDefault="001A4C2E" w14:paraId="0B154977" w14:textId="46960D4C">
      <w:pPr>
        <w:rPr>
          <w:rFonts w:eastAsia="Times New Roman" w:asciiTheme="minorHAnsi" w:hAnsiTheme="minorHAnsi" w:cstheme="minorHAnsi"/>
          <w:color w:val="000000"/>
        </w:rPr>
      </w:pPr>
      <w:r>
        <w:rPr>
          <w:noProof/>
        </w:rPr>
        <w:drawing>
          <wp:inline distT="0" distB="0" distL="0" distR="0" wp14:anchorId="4740707A" wp14:editId="6FEBE284">
            <wp:extent cx="3063240" cy="2080260"/>
            <wp:effectExtent l="0" t="0" r="3810" b="0"/>
            <wp:docPr id="5" name="Picture 5" descr="A person walking on a stage  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person walking on a stage  Description automatically generated"/>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3240" cy="2080260"/>
                    </a:xfrm>
                    <a:prstGeom prst="rect">
                      <a:avLst/>
                    </a:prstGeom>
                    <a:noFill/>
                    <a:ln>
                      <a:noFill/>
                    </a:ln>
                  </pic:spPr>
                </pic:pic>
              </a:graphicData>
            </a:graphic>
          </wp:inline>
        </w:drawing>
      </w:r>
      <w:r>
        <w:rPr>
          <w:noProof/>
        </w:rPr>
        <w:t xml:space="preserve">                 </w:t>
      </w:r>
      <w:r>
        <w:rPr>
          <w:noProof/>
        </w:rPr>
        <w:drawing>
          <wp:inline distT="0" distB="0" distL="0" distR="0" wp14:anchorId="17B90EDD" wp14:editId="3838DE37">
            <wp:extent cx="3169920" cy="20955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69920" cy="2095500"/>
                    </a:xfrm>
                    <a:prstGeom prst="rect">
                      <a:avLst/>
                    </a:prstGeom>
                    <a:noFill/>
                    <a:ln>
                      <a:noFill/>
                    </a:ln>
                  </pic:spPr>
                </pic:pic>
              </a:graphicData>
            </a:graphic>
          </wp:inline>
        </w:drawing>
      </w:r>
    </w:p>
    <w:p w:rsidRPr="00AD7A5F" w:rsidR="00E13274" w:rsidP="00737B1C" w:rsidRDefault="00E13274" w14:paraId="6F00A964" w14:textId="77777777">
      <w:pPr>
        <w:jc w:val="both"/>
        <w:rPr>
          <w:rFonts w:eastAsia="Times New Roman" w:asciiTheme="minorHAnsi" w:hAnsiTheme="minorHAnsi" w:cstheme="minorHAnsi"/>
          <w:color w:val="000000"/>
        </w:rPr>
      </w:pPr>
    </w:p>
    <w:p w:rsidRPr="00AD7A5F" w:rsidR="00D40FA5" w:rsidP="00D40FA5" w:rsidRDefault="001A4C2E" w14:paraId="693D5C7E" w14:textId="50E04F9E">
      <w:pPr>
        <w:pStyle w:val="NoSpacing"/>
        <w:rPr>
          <w:rFonts w:asciiTheme="minorHAnsi" w:hAnsiTheme="minorHAnsi" w:cstheme="minorHAnsi"/>
          <w:i/>
          <w:iCs/>
          <w:color w:val="0070C0"/>
          <w:sz w:val="18"/>
          <w:szCs w:val="18"/>
        </w:rPr>
      </w:pPr>
      <w:bookmarkStart w:name="_Ref213088957" w:id="31"/>
      <w:r>
        <w:rPr>
          <w:rFonts w:asciiTheme="minorHAnsi" w:hAnsiTheme="minorHAnsi" w:cstheme="minorHAnsi"/>
          <w:i/>
          <w:iCs/>
          <w:color w:val="0070C0"/>
          <w:sz w:val="18"/>
          <w:szCs w:val="18"/>
        </w:rPr>
        <w:t xml:space="preserve">                                                   Image </w:t>
      </w:r>
      <w:bookmarkEnd w:id="31"/>
      <w:r>
        <w:rPr>
          <w:rFonts w:asciiTheme="minorHAnsi" w:hAnsiTheme="minorHAnsi" w:cstheme="minorHAnsi"/>
          <w:i/>
          <w:iCs/>
          <w:color w:val="0070C0"/>
          <w:sz w:val="18"/>
          <w:szCs w:val="18"/>
        </w:rPr>
        <w:t>3 NNF opened the EU Fashion Passport event with its fashion show © IOM 202</w:t>
      </w:r>
      <w:r w:rsidR="0038256F">
        <w:rPr>
          <w:rFonts w:asciiTheme="minorHAnsi" w:hAnsiTheme="minorHAnsi" w:cstheme="minorHAnsi"/>
          <w:i/>
          <w:iCs/>
          <w:color w:val="0070C0"/>
          <w:sz w:val="18"/>
          <w:szCs w:val="18"/>
        </w:rPr>
        <w:t>5</w:t>
      </w:r>
    </w:p>
    <w:p w:rsidRPr="00AD7A5F" w:rsidR="008A6477" w:rsidP="00DA68C8" w:rsidRDefault="001A4C2E" w14:paraId="32EFA58B" w14:textId="6F0F853E">
      <w:pPr>
        <w:pStyle w:val="NoSpacing"/>
        <w:rPr>
          <w:lang w:val="bs-Latn-BA" w:eastAsia="bs-Latn-BA"/>
        </w:rPr>
      </w:pPr>
      <w:r>
        <w:rPr>
          <w:rFonts w:asciiTheme="minorHAnsi" w:hAnsiTheme="minorHAnsi" w:cstheme="minorHAnsi"/>
          <w:i/>
          <w:iCs/>
          <w:color w:val="0070C0"/>
          <w:sz w:val="18"/>
          <w:szCs w:val="18"/>
        </w:rPr>
        <w:t xml:space="preserve">                                                                                 Image 4 NNF Imagine Migration visual © IOM 202</w:t>
      </w:r>
      <w:r w:rsidR="0038256F">
        <w:rPr>
          <w:rFonts w:asciiTheme="minorHAnsi" w:hAnsiTheme="minorHAnsi" w:cstheme="minorHAnsi"/>
          <w:i/>
          <w:iCs/>
          <w:color w:val="0070C0"/>
          <w:sz w:val="18"/>
          <w:szCs w:val="18"/>
        </w:rPr>
        <w:t>5</w:t>
      </w:r>
    </w:p>
    <w:p w:rsidRPr="00AD7A5F" w:rsidR="008A6477" w:rsidP="00737B1C" w:rsidRDefault="008A6477" w14:paraId="6DA05A51" w14:textId="77777777">
      <w:pPr>
        <w:jc w:val="both"/>
        <w:rPr>
          <w:rFonts w:eastAsia="Times New Roman" w:asciiTheme="minorHAnsi" w:hAnsiTheme="minorHAnsi" w:cstheme="minorHAnsi"/>
          <w:color w:val="000000"/>
        </w:rPr>
      </w:pPr>
    </w:p>
    <w:p w:rsidRPr="00E604DB" w:rsidR="00737B1C" w:rsidP="00737B1C" w:rsidRDefault="00737B1C" w14:paraId="23F845D7" w14:textId="23568631">
      <w:pPr>
        <w:spacing w:line="300" w:lineRule="atLeast"/>
        <w:jc w:val="both"/>
        <w:rPr>
          <w:rFonts w:eastAsia="Times New Roman" w:asciiTheme="minorHAnsi" w:hAnsiTheme="minorHAnsi" w:cstheme="minorHAnsi"/>
          <w:i/>
          <w:iCs/>
          <w:color w:val="000000"/>
          <w:shd w:val="clear" w:color="auto" w:fill="FFFF00"/>
        </w:rPr>
      </w:pPr>
      <w:r w:rsidRPr="00E604DB">
        <w:rPr>
          <w:rFonts w:eastAsia="Times New Roman" w:asciiTheme="minorHAnsi" w:hAnsiTheme="minorHAnsi" w:cstheme="minorHAnsi"/>
          <w:color w:val="000000"/>
        </w:rPr>
        <w:t xml:space="preserve">NNF was showcased during 2025 edition of the SDG Week in BiH through </w:t>
      </w:r>
      <w:r w:rsidRPr="00E604DB">
        <w:rPr>
          <w:rFonts w:eastAsia="Times New Roman" w:asciiTheme="minorHAnsi" w:hAnsiTheme="minorHAnsi" w:cstheme="minorHAnsi"/>
          <w:i/>
          <w:iCs/>
          <w:color w:val="000000"/>
        </w:rPr>
        <w:t>The Story About Us</w:t>
      </w:r>
      <w:r w:rsidRPr="00E604DB">
        <w:rPr>
          <w:rFonts w:eastAsia="Times New Roman" w:asciiTheme="minorHAnsi" w:hAnsiTheme="minorHAnsi" w:cstheme="minorHAnsi"/>
          <w:color w:val="000000"/>
        </w:rPr>
        <w:t>, a two</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day </w:t>
      </w:r>
      <w:proofErr w:type="spellStart"/>
      <w:r w:rsidRPr="00E604DB">
        <w:rPr>
          <w:rFonts w:eastAsia="Times New Roman" w:asciiTheme="minorHAnsi" w:hAnsiTheme="minorHAnsi" w:cstheme="minorHAnsi"/>
          <w:color w:val="000000"/>
        </w:rPr>
        <w:t>programme</w:t>
      </w:r>
      <w:proofErr w:type="spellEnd"/>
      <w:r w:rsidRPr="00E604DB">
        <w:rPr>
          <w:rFonts w:eastAsia="Times New Roman" w:asciiTheme="minorHAnsi" w:hAnsiTheme="minorHAnsi" w:cstheme="minorHAnsi"/>
          <w:color w:val="000000"/>
        </w:rPr>
        <w:t xml:space="preserve"> featuring a photography exhibition, pop</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up shop, collaborative workshop with students, migrants, women’s associations and artisans, and panel discussions with experts in ethical design, environmental </w:t>
      </w:r>
      <w:proofErr w:type="gramStart"/>
      <w:r w:rsidRPr="00E604DB">
        <w:rPr>
          <w:rFonts w:eastAsia="Times New Roman" w:asciiTheme="minorHAnsi" w:hAnsiTheme="minorHAnsi" w:cstheme="minorHAnsi"/>
          <w:color w:val="000000"/>
        </w:rPr>
        <w:t>practices</w:t>
      </w:r>
      <w:proofErr w:type="gramEnd"/>
      <w:r w:rsidRPr="00E604DB">
        <w:rPr>
          <w:rFonts w:eastAsia="Times New Roman" w:asciiTheme="minorHAnsi" w:hAnsiTheme="minorHAnsi" w:cstheme="minorHAnsi"/>
          <w:color w:val="000000"/>
        </w:rPr>
        <w:t xml:space="preserve"> and media. Strong interest led to an extension of the accompanying Franco </w:t>
      </w:r>
      <w:proofErr w:type="spellStart"/>
      <w:r w:rsidRPr="00E604DB">
        <w:rPr>
          <w:rFonts w:eastAsia="Times New Roman" w:asciiTheme="minorHAnsi" w:hAnsiTheme="minorHAnsi" w:cstheme="minorHAnsi"/>
          <w:color w:val="000000"/>
        </w:rPr>
        <w:t>Pagetti</w:t>
      </w:r>
      <w:proofErr w:type="spellEnd"/>
      <w:r w:rsidRPr="00E604DB">
        <w:rPr>
          <w:rFonts w:eastAsia="Times New Roman" w:asciiTheme="minorHAnsi" w:hAnsiTheme="minorHAnsi" w:cstheme="minorHAnsi"/>
          <w:color w:val="000000"/>
        </w:rPr>
        <w:t xml:space="preserve"> photography exhibition. Together with other events, this contributed to expanding a diverse network of collaborators supporting NNF’s creative and social missio</w:t>
      </w:r>
      <w:r w:rsidRPr="00EA2EF7">
        <w:rPr>
          <w:rFonts w:eastAsia="Times New Roman" w:asciiTheme="minorHAnsi" w:hAnsiTheme="minorHAnsi" w:cstheme="minorHAnsi"/>
          <w:color w:val="000000"/>
        </w:rPr>
        <w:t>n</w:t>
      </w:r>
      <w:r w:rsidRPr="007E43CE">
        <w:t>.</w:t>
      </w:r>
    </w:p>
    <w:p w:rsidRPr="00E604DB" w:rsidR="00B55C48" w:rsidP="00737B1C" w:rsidRDefault="00B55C48" w14:paraId="05A33D91" w14:textId="77777777">
      <w:pPr>
        <w:spacing w:line="300" w:lineRule="atLeast"/>
        <w:jc w:val="both"/>
        <w:rPr>
          <w:rFonts w:eastAsia="Times New Roman" w:asciiTheme="minorHAnsi" w:hAnsiTheme="minorHAnsi" w:cstheme="minorHAnsi"/>
          <w:color w:val="000000"/>
        </w:rPr>
      </w:pPr>
    </w:p>
    <w:p w:rsidRPr="00E604DB" w:rsidR="00737B1C" w:rsidP="00737B1C" w:rsidRDefault="00737B1C" w14:paraId="069C1E01" w14:textId="5753C9F9">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 xml:space="preserve">Regionally, NNF’s presence was reinforced through participation in </w:t>
      </w:r>
      <w:proofErr w:type="spellStart"/>
      <w:r w:rsidRPr="00E604DB">
        <w:rPr>
          <w:rFonts w:eastAsia="Times New Roman" w:asciiTheme="minorHAnsi" w:hAnsiTheme="minorHAnsi" w:cstheme="minorHAnsi"/>
          <w:color w:val="000000"/>
        </w:rPr>
        <w:t>WeFair</w:t>
      </w:r>
      <w:proofErr w:type="spellEnd"/>
      <w:r w:rsidRPr="00E604DB">
        <w:rPr>
          <w:rFonts w:eastAsia="Times New Roman" w:asciiTheme="minorHAnsi" w:hAnsiTheme="minorHAnsi" w:cstheme="minorHAnsi"/>
          <w:color w:val="000000"/>
        </w:rPr>
        <w:t xml:space="preserve"> in Linz and Belgrade Fashion Week, where the brand was showcased alongside other sustainable producers. Engagement with local institutions also deepened, including collaboration with the Secondary School of Applied Arts and partnerships with designers, media professionals and women</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led organizations.</w:t>
      </w:r>
    </w:p>
    <w:p w:rsidRPr="00E604DB" w:rsidR="00FA7303" w:rsidP="00737B1C" w:rsidRDefault="00FA7303" w14:paraId="6D56F3C6" w14:textId="77777777">
      <w:pPr>
        <w:jc w:val="both"/>
        <w:rPr>
          <w:rFonts w:eastAsia="Times New Roman" w:asciiTheme="minorHAnsi" w:hAnsiTheme="minorHAnsi" w:cstheme="minorHAnsi"/>
          <w:color w:val="000000"/>
        </w:rPr>
      </w:pPr>
    </w:p>
    <w:p w:rsidRPr="00E604DB" w:rsidR="00737B1C" w:rsidP="00737B1C" w:rsidRDefault="00737B1C" w14:paraId="2E37B81F" w14:textId="77777777">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Throughout implementation, NNF consistently applied gender</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sensitive approaches and Do No Harm principles. Activities ensured safe and meaningful participation for women, including through gender</w:t>
      </w:r>
      <w:r w:rsidRPr="00E604DB">
        <w:rPr>
          <w:rFonts w:eastAsia="Times New Roman" w:asciiTheme="minorHAnsi" w:hAnsiTheme="minorHAnsi" w:cstheme="minorHAnsi"/>
          <w:color w:val="000000"/>
        </w:rPr>
        <w:noBreakHyphen/>
      </w:r>
      <w:r w:rsidRPr="00E604DB">
        <w:rPr>
          <w:rFonts w:eastAsia="Times New Roman" w:asciiTheme="minorHAnsi" w:hAnsiTheme="minorHAnsi" w:cstheme="minorHAnsi"/>
          <w:color w:val="000000"/>
        </w:rPr>
        <w:t xml:space="preserve">segregated sessions when needed. Environmental sustainability remained central, with continuous promotion of upcycling, </w:t>
      </w:r>
      <w:proofErr w:type="gramStart"/>
      <w:r w:rsidRPr="00E604DB">
        <w:rPr>
          <w:rFonts w:eastAsia="Times New Roman" w:asciiTheme="minorHAnsi" w:hAnsiTheme="minorHAnsi" w:cstheme="minorHAnsi"/>
          <w:color w:val="000000"/>
        </w:rPr>
        <w:t>recycling</w:t>
      </w:r>
      <w:proofErr w:type="gramEnd"/>
      <w:r w:rsidRPr="00E604DB">
        <w:rPr>
          <w:rFonts w:eastAsia="Times New Roman" w:asciiTheme="minorHAnsi" w:hAnsiTheme="minorHAnsi" w:cstheme="minorHAnsi"/>
          <w:color w:val="000000"/>
        </w:rPr>
        <w:t xml:space="preserve"> and responsible consumption.</w:t>
      </w:r>
    </w:p>
    <w:p w:rsidRPr="00E604DB" w:rsidR="00EF3F38" w:rsidP="00737B1C" w:rsidRDefault="00EF3F38" w14:paraId="0E3D3DC8" w14:textId="77777777">
      <w:pPr>
        <w:jc w:val="both"/>
        <w:rPr>
          <w:rFonts w:eastAsia="Times New Roman" w:asciiTheme="minorHAnsi" w:hAnsiTheme="minorHAnsi" w:cstheme="minorHAnsi"/>
          <w:color w:val="000000"/>
        </w:rPr>
      </w:pPr>
    </w:p>
    <w:p w:rsidR="009A278D" w:rsidP="009A278D" w:rsidRDefault="0005034B" w14:paraId="32A71DF8" w14:textId="0D3619EB">
      <w:pPr>
        <w:jc w:val="both"/>
        <w:rPr>
          <w:rFonts w:eastAsia="Times New Roman" w:asciiTheme="minorHAnsi" w:hAnsiTheme="minorHAnsi" w:cstheme="minorHAnsi"/>
          <w:color w:val="000000"/>
        </w:rPr>
      </w:pPr>
      <w:r w:rsidRPr="00E604DB">
        <w:rPr>
          <w:rFonts w:eastAsia="Times New Roman" w:asciiTheme="minorHAnsi" w:hAnsiTheme="minorHAnsi" w:cstheme="minorHAnsi"/>
          <w:color w:val="000000"/>
        </w:rPr>
        <w:t xml:space="preserve">To further strengthen visibility and outreach, NNF launched its official website as a central communication platform. The site presents the brand’s mission, showcases </w:t>
      </w:r>
      <w:proofErr w:type="gramStart"/>
      <w:r w:rsidRPr="00E604DB">
        <w:rPr>
          <w:rFonts w:eastAsia="Times New Roman" w:asciiTheme="minorHAnsi" w:hAnsiTheme="minorHAnsi" w:cstheme="minorHAnsi"/>
          <w:color w:val="000000"/>
        </w:rPr>
        <w:t>products</w:t>
      </w:r>
      <w:proofErr w:type="gramEnd"/>
      <w:r w:rsidRPr="00E604DB">
        <w:rPr>
          <w:rFonts w:eastAsia="Times New Roman" w:asciiTheme="minorHAnsi" w:hAnsiTheme="minorHAnsi" w:cstheme="minorHAnsi"/>
          <w:color w:val="000000"/>
        </w:rPr>
        <w:t xml:space="preserve"> and stories, and includes a voluntary donation function, marking an initial step toward sustainable partial financing mechanisms and opportunities.</w:t>
      </w:r>
    </w:p>
    <w:p w:rsidR="00B065A9" w:rsidP="009A278D" w:rsidRDefault="00B065A9" w14:paraId="34FC782C" w14:textId="77777777">
      <w:pPr>
        <w:jc w:val="both"/>
        <w:rPr>
          <w:rFonts w:eastAsia="Times New Roman" w:asciiTheme="minorHAnsi" w:hAnsiTheme="minorHAnsi" w:cstheme="minorHAnsi"/>
          <w:color w:val="000000"/>
        </w:rPr>
      </w:pPr>
    </w:p>
    <w:p w:rsidRPr="003E710B" w:rsidR="003E710B" w:rsidP="009A278D" w:rsidRDefault="00D02D08" w14:paraId="3125BF99" w14:textId="4391278D">
      <w:pPr>
        <w:jc w:val="both"/>
        <w:rPr>
          <w:rFonts w:asciiTheme="minorHAnsi" w:hAnsiTheme="minorHAnsi" w:cstheme="minorBidi"/>
          <w:b/>
          <w:color w:val="0468B1"/>
          <w:szCs w:val="24"/>
        </w:rPr>
      </w:pPr>
      <w:r>
        <w:rPr>
          <w:rFonts w:asciiTheme="minorHAnsi" w:hAnsiTheme="minorHAnsi" w:cstheme="minorBidi"/>
          <w:b/>
          <w:color w:val="0468B1"/>
          <w:szCs w:val="24"/>
        </w:rPr>
        <w:t>Outcome 2</w:t>
      </w:r>
      <w:bookmarkEnd w:id="30"/>
    </w:p>
    <w:tbl>
      <w:tblPr>
        <w:tblW w:w="0" w:type="auto"/>
        <w:jc w:val="center"/>
        <w:tblLook w:val="04A0" w:firstRow="1" w:lastRow="0" w:firstColumn="1" w:lastColumn="0" w:noHBand="0" w:noVBand="1"/>
      </w:tblPr>
      <w:tblGrid>
        <w:gridCol w:w="2520"/>
        <w:gridCol w:w="2520"/>
        <w:gridCol w:w="2520"/>
        <w:gridCol w:w="2520"/>
      </w:tblGrid>
      <w:tr w:rsidR="00A11601" w14:paraId="1FE2B614" w14:textId="77777777">
        <w:trPr>
          <w:jc w:val="center"/>
        </w:trPr>
        <w:tc>
          <w:tcPr>
            <w:tcW w:w="2520" w:type="dxa"/>
            <w:shd w:val="clear" w:color="auto" w:fill="E5243B"/>
          </w:tcPr>
          <w:p w:rsidR="00A11601" w:rsidRDefault="00CC23C9" w14:paraId="06409C07" w14:textId="77777777">
            <w:pPr>
              <w:jc w:val="center"/>
            </w:pPr>
            <w:r>
              <w:rPr>
                <w:b/>
                <w:color w:val="FFFFFF"/>
                <w:sz w:val="14"/>
              </w:rPr>
              <w:t>LGs</w:t>
            </w:r>
          </w:p>
        </w:tc>
        <w:tc>
          <w:tcPr>
            <w:tcW w:w="2520" w:type="dxa"/>
            <w:shd w:val="clear" w:color="auto" w:fill="00689D"/>
          </w:tcPr>
          <w:p w:rsidR="00A11601" w:rsidRDefault="00CC23C9" w14:paraId="77AE7442" w14:textId="77777777">
            <w:pPr>
              <w:jc w:val="center"/>
            </w:pPr>
            <w:r>
              <w:rPr>
                <w:b/>
                <w:color w:val="FFFFFF"/>
                <w:sz w:val="14"/>
              </w:rPr>
              <w:t>CANTONS</w:t>
            </w:r>
          </w:p>
        </w:tc>
        <w:tc>
          <w:tcPr>
            <w:tcW w:w="2520" w:type="dxa"/>
            <w:shd w:val="clear" w:color="auto" w:fill="FF3A21"/>
          </w:tcPr>
          <w:p w:rsidR="00A11601" w:rsidRDefault="00CC23C9" w14:paraId="7AAEFF42" w14:textId="77777777">
            <w:pPr>
              <w:jc w:val="center"/>
            </w:pPr>
            <w:r>
              <w:rPr>
                <w:b/>
                <w:color w:val="FFFFFF"/>
                <w:sz w:val="14"/>
              </w:rPr>
              <w:t>BENEFICIARIES</w:t>
            </w:r>
          </w:p>
        </w:tc>
        <w:tc>
          <w:tcPr>
            <w:tcW w:w="2520" w:type="dxa"/>
            <w:shd w:val="clear" w:color="auto" w:fill="268D49"/>
          </w:tcPr>
          <w:p w:rsidR="00A11601" w:rsidRDefault="00CC23C9" w14:paraId="26838DC6" w14:textId="77777777">
            <w:pPr>
              <w:jc w:val="center"/>
            </w:pPr>
            <w:r>
              <w:rPr>
                <w:b/>
                <w:color w:val="FFFFFF"/>
                <w:sz w:val="14"/>
              </w:rPr>
              <w:t>CO-FINANCING</w:t>
            </w:r>
          </w:p>
        </w:tc>
      </w:tr>
      <w:tr w:rsidR="00A11601" w14:paraId="46EEEC3C" w14:textId="77777777">
        <w:trPr>
          <w:jc w:val="center"/>
        </w:trPr>
        <w:tc>
          <w:tcPr>
            <w:tcW w:w="2520" w:type="dxa"/>
            <w:shd w:val="clear" w:color="auto" w:fill="F9F9F9"/>
          </w:tcPr>
          <w:p w:rsidR="00A11601" w:rsidRDefault="00CC23C9" w14:paraId="576FEC3D" w14:textId="77777777">
            <w:pPr>
              <w:jc w:val="center"/>
            </w:pPr>
            <w:r>
              <w:rPr>
                <w:b/>
                <w:sz w:val="24"/>
              </w:rPr>
              <w:t>8</w:t>
            </w:r>
          </w:p>
        </w:tc>
        <w:tc>
          <w:tcPr>
            <w:tcW w:w="2520" w:type="dxa"/>
            <w:shd w:val="clear" w:color="auto" w:fill="F9F9F9"/>
          </w:tcPr>
          <w:p w:rsidR="00A11601" w:rsidRDefault="00CC23C9" w14:paraId="7BC6CB3B" w14:textId="77777777">
            <w:pPr>
              <w:jc w:val="center"/>
            </w:pPr>
            <w:r>
              <w:rPr>
                <w:b/>
                <w:sz w:val="24"/>
              </w:rPr>
              <w:t>3</w:t>
            </w:r>
          </w:p>
        </w:tc>
        <w:tc>
          <w:tcPr>
            <w:tcW w:w="2520" w:type="dxa"/>
            <w:shd w:val="clear" w:color="auto" w:fill="F9F9F9"/>
          </w:tcPr>
          <w:p w:rsidR="00A11601" w:rsidRDefault="00CC23C9" w14:paraId="146F85EE" w14:textId="77777777">
            <w:pPr>
              <w:jc w:val="center"/>
            </w:pPr>
            <w:r>
              <w:rPr>
                <w:b/>
                <w:sz w:val="24"/>
              </w:rPr>
              <w:t>43,772</w:t>
            </w:r>
          </w:p>
        </w:tc>
        <w:tc>
          <w:tcPr>
            <w:tcW w:w="2520" w:type="dxa"/>
            <w:shd w:val="clear" w:color="auto" w:fill="F9F9F9"/>
          </w:tcPr>
          <w:p w:rsidR="00A11601" w:rsidRDefault="00CC23C9" w14:paraId="1571B9BB" w14:textId="77777777">
            <w:pPr>
              <w:jc w:val="center"/>
            </w:pPr>
            <w:r>
              <w:rPr>
                <w:b/>
                <w:sz w:val="24"/>
              </w:rPr>
              <w:t>35%</w:t>
            </w:r>
          </w:p>
        </w:tc>
      </w:tr>
    </w:tbl>
    <w:p w:rsidR="00037463" w:rsidP="003E710B" w:rsidRDefault="00037463" w14:paraId="091D3995" w14:textId="77777777">
      <w:pPr>
        <w:rPr>
          <w:b/>
          <w:bCs/>
        </w:rPr>
      </w:pPr>
    </w:p>
    <w:p w:rsidRPr="003E710B" w:rsidR="00D02D08" w:rsidP="003E710B" w:rsidRDefault="00D02D08" w14:paraId="0B3921D2" w14:textId="4966D599">
      <w:pPr>
        <w:rPr>
          <w:b/>
          <w:bCs/>
          <w:sz w:val="24"/>
        </w:rPr>
      </w:pPr>
      <w:r>
        <w:rPr>
          <w:b/>
          <w:bCs/>
        </w:rPr>
        <w:t>Cantonal and local governments actively contribute to implementation of the SDG Framework in BiH</w:t>
      </w:r>
    </w:p>
    <w:p w:rsidRPr="003D7404" w:rsidR="0025603B" w:rsidP="00FE7BAA" w:rsidRDefault="0025603B" w14:paraId="29D31A4E" w14:textId="77777777">
      <w:pPr>
        <w:spacing w:line="257" w:lineRule="auto"/>
        <w:jc w:val="both"/>
        <w:rPr>
          <w:rFonts w:eastAsia="Calibri"/>
          <w:bCs/>
        </w:rPr>
      </w:pPr>
    </w:p>
    <w:p w:rsidRPr="003D7404" w:rsidR="00D15C96" w:rsidP="00D15C96" w:rsidRDefault="00D15C96" w14:paraId="22A4F1D6"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Cantonal and local governments in Bosnia and Herzegovina strengthened their capacities as drivers of sustainable and inclusive development over the </w:t>
      </w:r>
      <w:proofErr w:type="spellStart"/>
      <w:r>
        <w:rPr>
          <w:rFonts w:eastAsia="Times New Roman" w:asciiTheme="minorHAnsi" w:hAnsiTheme="minorHAnsi" w:cstheme="minorHAnsi"/>
          <w:bCs/>
        </w:rPr>
        <w:t>Programme's</w:t>
      </w:r>
      <w:proofErr w:type="spellEnd"/>
      <w:r>
        <w:rPr>
          <w:rFonts w:eastAsia="Times New Roman" w:asciiTheme="minorHAnsi" w:hAnsiTheme="minorHAnsi" w:cstheme="minorHAnsi"/>
          <w:bCs/>
        </w:rPr>
        <w:t xml:space="preserve"> duration from April 2022 to February 2026. Through localization and operationalization of the SDGs, these institutions built systematic capacity to plan, finance, implement, and report on development priorities aligned with the SDG Framework in BiH.</w:t>
      </w:r>
    </w:p>
    <w:p w:rsidRPr="003D7404" w:rsidR="00D15C96" w:rsidP="00D15C96" w:rsidRDefault="00D15C96" w14:paraId="2CDE6DDE" w14:textId="77777777">
      <w:pPr>
        <w:spacing w:before="120"/>
        <w:jc w:val="both"/>
        <w:rPr>
          <w:rFonts w:eastAsia="Times New Roman" w:asciiTheme="minorHAnsi" w:hAnsiTheme="minorHAnsi" w:cstheme="minorHAnsi"/>
          <w:bCs/>
        </w:rPr>
      </w:pPr>
      <w:r>
        <w:rPr>
          <w:rFonts w:eastAsia="Times New Roman" w:cstheme="minorHAnsi"/>
          <w:bCs/>
        </w:rPr>
        <w:t xml:space="preserve"> </w:t>
      </w:r>
      <w:r>
        <w:rPr>
          <w:rFonts w:eastAsia="Times New Roman" w:asciiTheme="minorHAnsi" w:hAnsiTheme="minorHAnsi" w:cstheme="minorHAnsi"/>
          <w:bCs/>
        </w:rPr>
        <w:t>Through a comprehensive and phased approach</w:t>
      </w:r>
      <w:r>
        <w:rPr>
          <w:rFonts w:eastAsia="Times New Roman" w:cstheme="minorHAnsi"/>
          <w:bCs/>
        </w:rPr>
        <w:t xml:space="preserve">, </w:t>
      </w:r>
      <w:r>
        <w:rPr>
          <w:rFonts w:eastAsia="Times New Roman" w:asciiTheme="minorHAnsi" w:hAnsiTheme="minorHAnsi" w:cstheme="minorHAnsi"/>
          <w:bCs/>
        </w:rPr>
        <w:t>combining capacity development, technical assistance, peer learning, and direct financial support</w:t>
      </w:r>
      <w:r>
        <w:rPr>
          <w:rFonts w:eastAsia="Times New Roman" w:cstheme="minorHAnsi"/>
          <w:bCs/>
        </w:rPr>
        <w:t xml:space="preserve">, </w:t>
      </w:r>
      <w:r>
        <w:rPr>
          <w:rFonts w:eastAsia="Times New Roman" w:asciiTheme="minorHAnsi" w:hAnsiTheme="minorHAnsi" w:cstheme="minorHAnsi"/>
          <w:bCs/>
        </w:rPr>
        <w:t xml:space="preserve">eight local governments (Bijeljina, Gradiška, Jablanica, </w:t>
      </w:r>
      <w:proofErr w:type="spellStart"/>
      <w:r>
        <w:rPr>
          <w:rFonts w:eastAsia="Times New Roman" w:asciiTheme="minorHAnsi" w:hAnsiTheme="minorHAnsi" w:cstheme="minorHAnsi"/>
          <w:bCs/>
        </w:rPr>
        <w:t>Laktaši</w:t>
      </w:r>
      <w:proofErr w:type="spellEnd"/>
      <w:r>
        <w:rPr>
          <w:rFonts w:eastAsia="Times New Roman" w:asciiTheme="minorHAnsi" w:hAnsiTheme="minorHAnsi" w:cstheme="minorHAnsi"/>
          <w:bCs/>
        </w:rPr>
        <w:t xml:space="preserve">, Novo Sarajevo, </w:t>
      </w:r>
      <w:proofErr w:type="spellStart"/>
      <w:r>
        <w:rPr>
          <w:rFonts w:eastAsia="Times New Roman" w:asciiTheme="minorHAnsi" w:hAnsiTheme="minorHAnsi" w:cstheme="minorHAnsi"/>
          <w:bCs/>
        </w:rPr>
        <w:t>Posušje</w:t>
      </w:r>
      <w:proofErr w:type="spellEnd"/>
      <w:r>
        <w:rPr>
          <w:rFonts w:eastAsia="Times New Roman" w:asciiTheme="minorHAnsi" w:hAnsiTheme="minorHAnsi" w:cstheme="minorHAnsi"/>
          <w:bCs/>
        </w:rPr>
        <w:t xml:space="preserve">, </w:t>
      </w:r>
      <w:proofErr w:type="spellStart"/>
      <w:r>
        <w:rPr>
          <w:rFonts w:eastAsia="Times New Roman" w:asciiTheme="minorHAnsi" w:hAnsiTheme="minorHAnsi" w:cstheme="minorHAnsi"/>
          <w:bCs/>
        </w:rPr>
        <w:t>Teslić</w:t>
      </w:r>
      <w:proofErr w:type="spellEnd"/>
      <w:r>
        <w:rPr>
          <w:rFonts w:eastAsia="Times New Roman" w:asciiTheme="minorHAnsi" w:hAnsiTheme="minorHAnsi" w:cstheme="minorHAnsi"/>
          <w:bCs/>
        </w:rPr>
        <w:t>, and Trebinje) and three cantons (Tuzla</w:t>
      </w:r>
      <w:r>
        <w:rPr>
          <w:rFonts w:eastAsia="Times New Roman" w:cstheme="minorHAnsi"/>
          <w:bCs/>
        </w:rPr>
        <w:t xml:space="preserve"> Canton</w:t>
      </w:r>
      <w:r>
        <w:rPr>
          <w:rFonts w:eastAsia="Times New Roman" w:asciiTheme="minorHAnsi" w:hAnsiTheme="minorHAnsi" w:cstheme="minorHAnsi"/>
          <w:bCs/>
        </w:rPr>
        <w:t>, Una-Sana</w:t>
      </w:r>
      <w:r>
        <w:rPr>
          <w:rFonts w:eastAsia="Times New Roman" w:cstheme="minorHAnsi"/>
          <w:bCs/>
        </w:rPr>
        <w:t xml:space="preserve"> </w:t>
      </w:r>
      <w:proofErr w:type="gramStart"/>
      <w:r>
        <w:rPr>
          <w:rFonts w:eastAsia="Times New Roman" w:cstheme="minorHAnsi"/>
          <w:bCs/>
        </w:rPr>
        <w:t>Canton</w:t>
      </w:r>
      <w:proofErr w:type="gramEnd"/>
      <w:r>
        <w:rPr>
          <w:rFonts w:eastAsia="Times New Roman" w:asciiTheme="minorHAnsi" w:hAnsiTheme="minorHAnsi" w:cstheme="minorHAnsi"/>
          <w:bCs/>
        </w:rPr>
        <w:t xml:space="preserve"> and West Herzegovina Canton). Over the course of implementation, these partners have become recognized leaders in the practical localization of SDGs, demonstrating that sustainable development principles can be effectively integrated into everyday governance and service delivery.</w:t>
      </w:r>
    </w:p>
    <w:p w:rsidRPr="003D7404" w:rsidR="00D15C96" w:rsidP="00D15C96" w:rsidRDefault="00D15C96" w14:paraId="6C29B04B"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Partner institutions moved from understanding SDGs conceptually to actively embedding them into strategic planning, decision-making, and investment prioritization. Tailored technical assistance strengthened planning and reporting systems, aligned strategic documents with the SDG Framework, prepared large-scale infrastructure projects for investment, and implemented grant-funded initiatives addressing local social and economic priorities.</w:t>
      </w:r>
    </w:p>
    <w:p w:rsidRPr="003D7404" w:rsidR="00D15C96" w:rsidP="00D15C96" w:rsidRDefault="00D15C96" w14:paraId="165D1480"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The principle of </w:t>
      </w:r>
      <w:r>
        <w:rPr>
          <w:rFonts w:eastAsia="Times New Roman" w:asciiTheme="minorHAnsi" w:hAnsiTheme="minorHAnsi" w:cstheme="minorHAnsi"/>
          <w:bCs/>
          <w:i/>
          <w:iCs/>
        </w:rPr>
        <w:t>Leave No One Behind (LNOB)</w:t>
      </w:r>
      <w:r>
        <w:rPr>
          <w:rFonts w:eastAsia="Times New Roman" w:asciiTheme="minorHAnsi" w:hAnsiTheme="minorHAnsi" w:cstheme="minorHAnsi"/>
          <w:bCs/>
        </w:rPr>
        <w:t xml:space="preserve"> became a cornerstone of local development planning and implementation. New and improved services were introduced across local communities, targeting the most vulnerable groups</w:t>
      </w:r>
      <w:r>
        <w:rPr>
          <w:rFonts w:eastAsia="Times New Roman" w:cstheme="minorHAnsi"/>
          <w:bCs/>
        </w:rPr>
        <w:t xml:space="preserve">, </w:t>
      </w:r>
      <w:r>
        <w:rPr>
          <w:rFonts w:eastAsia="Times New Roman" w:asciiTheme="minorHAnsi" w:hAnsiTheme="minorHAnsi" w:cstheme="minorHAnsi"/>
          <w:bCs/>
        </w:rPr>
        <w:t>children and adults with disabilities and other marginalized populations</w:t>
      </w:r>
      <w:r>
        <w:rPr>
          <w:rFonts w:eastAsia="Times New Roman" w:cstheme="minorHAnsi"/>
          <w:bCs/>
        </w:rPr>
        <w:t xml:space="preserve">, </w:t>
      </w:r>
      <w:r>
        <w:rPr>
          <w:rFonts w:eastAsia="Times New Roman" w:asciiTheme="minorHAnsi" w:hAnsiTheme="minorHAnsi" w:cstheme="minorHAnsi"/>
          <w:bCs/>
        </w:rPr>
        <w:t>ensuring equitable access to social protection, education, and health services.</w:t>
      </w:r>
    </w:p>
    <w:p w:rsidRPr="003D7404" w:rsidR="006E0C55" w:rsidP="00D15C96" w:rsidRDefault="00D15C96" w14:paraId="0BE831AB"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By the end of the Programme, all partner local governments</w:t>
      </w:r>
      <w:r>
        <w:rPr>
          <w:rFonts w:eastAsia="Times New Roman" w:cstheme="minorHAnsi"/>
          <w:bCs/>
        </w:rPr>
        <w:t xml:space="preserve"> (local governments)</w:t>
      </w:r>
      <w:r>
        <w:rPr>
          <w:rFonts w:eastAsia="Times New Roman" w:asciiTheme="minorHAnsi" w:hAnsiTheme="minorHAnsi" w:cstheme="minorHAnsi"/>
          <w:bCs/>
        </w:rPr>
        <w:t xml:space="preserve"> and cantons have not only enhanced their institutional and human capacities but also achieved tangible results that directly contribute to the realization of the SDG Framework in BiH.</w:t>
      </w:r>
    </w:p>
    <w:p w:rsidRPr="003D7404" w:rsidR="00FE7BAA" w:rsidP="00FE7BAA" w:rsidRDefault="00FE7BAA" w14:paraId="65C62551" w14:textId="77777777">
      <w:pPr>
        <w:tabs>
          <w:tab w:val="left" w:pos="6900"/>
        </w:tabs>
        <w:rPr>
          <w:bCs/>
        </w:rPr>
      </w:pPr>
      <w:r>
        <w:rPr>
          <w:bCs/>
        </w:rPr>
        <w:tab/>
      </w:r>
    </w:p>
    <w:p w:rsidRPr="003E710B" w:rsidR="00FE7BAA" w:rsidP="00FE7BAA" w:rsidRDefault="00FE7BAA" w14:paraId="7D92771A" w14:textId="77777777">
      <w:pPr>
        <w:pStyle w:val="Heading2"/>
        <w:pBdr>
          <w:bottom w:val="single" w:color="0468B1" w:sz="6" w:space="1"/>
        </w:pBdr>
        <w:spacing w:before="240"/>
        <w:jc w:val="both"/>
        <w:rPr>
          <w:rFonts w:cstheme="majorHAnsi"/>
          <w:b/>
          <w:color w:val="auto"/>
        </w:rPr>
      </w:pPr>
      <w:bookmarkStart w:name="_Toc154584328" w:id="32"/>
      <w:bookmarkStart w:name="_Toc221887266" w:id="33"/>
      <w:r>
        <w:rPr>
          <w:rFonts w:cstheme="majorHAnsi"/>
          <w:b/>
          <w:color w:val="0468B1"/>
          <w:sz w:val="28"/>
        </w:rPr>
        <w:t xml:space="preserve">Output 2.1. Local governments capabilities to plan, finance, implement, </w:t>
      </w:r>
      <w:proofErr w:type="gramStart"/>
      <w:r>
        <w:rPr>
          <w:rFonts w:cstheme="majorHAnsi"/>
          <w:b/>
          <w:color w:val="0468B1"/>
          <w:sz w:val="28"/>
        </w:rPr>
        <w:t>monitor</w:t>
      </w:r>
      <w:proofErr w:type="gramEnd"/>
      <w:r>
        <w:rPr>
          <w:rFonts w:cstheme="majorHAnsi"/>
          <w:b/>
          <w:color w:val="0468B1"/>
          <w:sz w:val="28"/>
        </w:rPr>
        <w:t xml:space="preserve"> and report on their SDG achievements enhanced (up to 8 local governments)</w:t>
      </w:r>
      <w:bookmarkEnd w:id="32"/>
      <w:bookmarkEnd w:id="33"/>
    </w:p>
    <w:tbl>
      <w:tblPr>
        <w:tblW w:w="0" w:type="auto"/>
        <w:jc w:val="center"/>
        <w:tblLook w:val="04A0" w:firstRow="1" w:lastRow="0" w:firstColumn="1" w:lastColumn="0" w:noHBand="0" w:noVBand="1"/>
      </w:tblPr>
      <w:tblGrid>
        <w:gridCol w:w="2520"/>
        <w:gridCol w:w="2520"/>
        <w:gridCol w:w="2520"/>
        <w:gridCol w:w="2520"/>
      </w:tblGrid>
      <w:tr w:rsidR="00A11601" w14:paraId="006C3414" w14:textId="77777777">
        <w:trPr>
          <w:jc w:val="center"/>
        </w:trPr>
        <w:tc>
          <w:tcPr>
            <w:tcW w:w="2520" w:type="dxa"/>
            <w:shd w:val="clear" w:color="auto" w:fill="E5243B"/>
          </w:tcPr>
          <w:p w:rsidR="00A11601" w:rsidRDefault="00CC23C9" w14:paraId="56E9A791" w14:textId="77777777">
            <w:pPr>
              <w:jc w:val="center"/>
            </w:pPr>
            <w:r>
              <w:rPr>
                <w:b/>
                <w:color w:val="FFFFFF"/>
                <w:sz w:val="14"/>
              </w:rPr>
              <w:t>LGs</w:t>
            </w:r>
          </w:p>
        </w:tc>
        <w:tc>
          <w:tcPr>
            <w:tcW w:w="2520" w:type="dxa"/>
            <w:shd w:val="clear" w:color="auto" w:fill="FF3A21"/>
          </w:tcPr>
          <w:p w:rsidR="00A11601" w:rsidRDefault="00CC23C9" w14:paraId="5CCE437C" w14:textId="77777777">
            <w:pPr>
              <w:jc w:val="center"/>
            </w:pPr>
            <w:r>
              <w:rPr>
                <w:b/>
                <w:color w:val="FFFFFF"/>
                <w:sz w:val="14"/>
              </w:rPr>
              <w:t>YOUTH</w:t>
            </w:r>
          </w:p>
        </w:tc>
        <w:tc>
          <w:tcPr>
            <w:tcW w:w="2520" w:type="dxa"/>
            <w:shd w:val="clear" w:color="auto" w:fill="268D49"/>
          </w:tcPr>
          <w:p w:rsidR="00A11601" w:rsidRDefault="00CC23C9" w14:paraId="6FFFD5C5" w14:textId="77777777">
            <w:pPr>
              <w:jc w:val="center"/>
            </w:pPr>
            <w:r>
              <w:rPr>
                <w:b/>
                <w:color w:val="FFFFFF"/>
                <w:sz w:val="14"/>
              </w:rPr>
              <w:t>PLAYGROUNDS</w:t>
            </w:r>
          </w:p>
        </w:tc>
        <w:tc>
          <w:tcPr>
            <w:tcW w:w="2520" w:type="dxa"/>
            <w:shd w:val="clear" w:color="auto" w:fill="00689D"/>
          </w:tcPr>
          <w:p w:rsidR="00A11601" w:rsidRDefault="00CC23C9" w14:paraId="44B8CBB8" w14:textId="77777777">
            <w:pPr>
              <w:jc w:val="center"/>
            </w:pPr>
            <w:r>
              <w:rPr>
                <w:b/>
                <w:color w:val="FFFFFF"/>
                <w:sz w:val="14"/>
              </w:rPr>
              <w:t>PROS TRAINED</w:t>
            </w:r>
          </w:p>
        </w:tc>
      </w:tr>
      <w:tr w:rsidR="00A11601" w14:paraId="665978CF" w14:textId="77777777">
        <w:trPr>
          <w:jc w:val="center"/>
        </w:trPr>
        <w:tc>
          <w:tcPr>
            <w:tcW w:w="2520" w:type="dxa"/>
            <w:shd w:val="clear" w:color="auto" w:fill="F9F9F9"/>
          </w:tcPr>
          <w:p w:rsidR="00A11601" w:rsidRDefault="00CC23C9" w14:paraId="52169BC3" w14:textId="77777777">
            <w:pPr>
              <w:jc w:val="center"/>
            </w:pPr>
            <w:r>
              <w:rPr>
                <w:b/>
                <w:sz w:val="24"/>
              </w:rPr>
              <w:t>8</w:t>
            </w:r>
          </w:p>
        </w:tc>
        <w:tc>
          <w:tcPr>
            <w:tcW w:w="2520" w:type="dxa"/>
            <w:shd w:val="clear" w:color="auto" w:fill="F9F9F9"/>
          </w:tcPr>
          <w:p w:rsidR="00A11601" w:rsidRDefault="00CC23C9" w14:paraId="48626008" w14:textId="77777777">
            <w:pPr>
              <w:jc w:val="center"/>
            </w:pPr>
            <w:r>
              <w:rPr>
                <w:b/>
                <w:sz w:val="24"/>
              </w:rPr>
              <w:t>1,854</w:t>
            </w:r>
          </w:p>
        </w:tc>
        <w:tc>
          <w:tcPr>
            <w:tcW w:w="2520" w:type="dxa"/>
            <w:shd w:val="clear" w:color="auto" w:fill="F9F9F9"/>
          </w:tcPr>
          <w:p w:rsidR="00A11601" w:rsidRDefault="00CC23C9" w14:paraId="010AF032" w14:textId="77777777">
            <w:pPr>
              <w:jc w:val="center"/>
            </w:pPr>
            <w:r>
              <w:rPr>
                <w:b/>
                <w:sz w:val="24"/>
              </w:rPr>
              <w:t>6 INCLUSIVE</w:t>
            </w:r>
          </w:p>
        </w:tc>
        <w:tc>
          <w:tcPr>
            <w:tcW w:w="2520" w:type="dxa"/>
            <w:shd w:val="clear" w:color="auto" w:fill="F9F9F9"/>
          </w:tcPr>
          <w:p w:rsidR="00A11601" w:rsidRDefault="00CC23C9" w14:paraId="1BAD671D" w14:textId="77777777">
            <w:pPr>
              <w:jc w:val="center"/>
            </w:pPr>
            <w:r>
              <w:rPr>
                <w:b/>
                <w:sz w:val="24"/>
              </w:rPr>
              <w:t>380+</w:t>
            </w:r>
          </w:p>
        </w:tc>
      </w:tr>
    </w:tbl>
    <w:p w:rsidRPr="003D7404" w:rsidR="0025603B" w:rsidP="00324B75" w:rsidRDefault="0025603B" w14:paraId="76F0291D" w14:textId="77777777">
      <w:pPr>
        <w:rPr>
          <w:bCs/>
        </w:rPr>
      </w:pPr>
    </w:p>
    <w:p w:rsidRPr="003D7404" w:rsidR="00861354" w:rsidP="00861354" w:rsidRDefault="00861354" w14:paraId="7666235C"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Sustained support strengthened the eight partner </w:t>
      </w:r>
      <w:r>
        <w:rPr>
          <w:rFonts w:eastAsia="Times New Roman" w:cstheme="minorHAnsi"/>
          <w:bCs/>
        </w:rPr>
        <w:t>local governments</w:t>
      </w:r>
      <w:r>
        <w:rPr>
          <w:rFonts w:eastAsia="Times New Roman" w:asciiTheme="minorHAnsi" w:hAnsiTheme="minorHAnsi" w:cstheme="minorHAnsi"/>
          <w:bCs/>
        </w:rPr>
        <w:t xml:space="preserve"> to strengthen their capacities to plan, implement, and monitor SDG</w:t>
      </w:r>
      <w:r>
        <w:rPr>
          <w:rFonts w:eastAsia="Times New Roman" w:cstheme="minorHAnsi"/>
          <w:bCs/>
        </w:rPr>
        <w:t xml:space="preserve"> </w:t>
      </w:r>
      <w:r>
        <w:rPr>
          <w:rFonts w:eastAsia="Times New Roman" w:asciiTheme="minorHAnsi" w:hAnsiTheme="minorHAnsi" w:cstheme="minorHAnsi"/>
          <w:bCs/>
        </w:rPr>
        <w:t>related initiatives. The focus remained on embedding the SDGs into local governance systems, ensuring that strategic, planning, and reporting frameworks reflect inclusive and sustainable development priorities.</w:t>
      </w:r>
    </w:p>
    <w:p w:rsidRPr="003D7404" w:rsidR="00861354" w:rsidP="00861354" w:rsidRDefault="00861354" w14:paraId="47677AEE"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A major milestone was the adoption of new development strategies by the Cities of Bijeljina and </w:t>
      </w:r>
      <w:proofErr w:type="spellStart"/>
      <w:r>
        <w:rPr>
          <w:rFonts w:eastAsia="Times New Roman" w:asciiTheme="minorHAnsi" w:hAnsiTheme="minorHAnsi" w:cstheme="minorHAnsi"/>
          <w:bCs/>
        </w:rPr>
        <w:t>Laktaši</w:t>
      </w:r>
      <w:proofErr w:type="spellEnd"/>
      <w:r>
        <w:rPr>
          <w:rFonts w:eastAsia="Times New Roman" w:asciiTheme="minorHAnsi" w:hAnsiTheme="minorHAnsi" w:cstheme="minorHAnsi"/>
          <w:bCs/>
        </w:rPr>
        <w:t>, both fully aligned with the SDG Framework in BiH and the new RS Law on Strategic Planning and Development Management. With Programme support, these strategies were developed through broad consultations and now serve as guiding documents for sustainable and inclusive local development.</w:t>
      </w:r>
    </w:p>
    <w:p w:rsidRPr="003D7404" w:rsidR="00861354" w:rsidP="00861354" w:rsidRDefault="00861354" w14:paraId="67E3D5B3"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In parallel, six other</w:t>
      </w:r>
      <w:r>
        <w:rPr>
          <w:rFonts w:eastAsia="Times New Roman" w:cstheme="minorHAnsi"/>
          <w:bCs/>
        </w:rPr>
        <w:t xml:space="preserve"> local governments: </w:t>
      </w:r>
      <w:r>
        <w:rPr>
          <w:rFonts w:eastAsia="Times New Roman" w:asciiTheme="minorHAnsi" w:hAnsiTheme="minorHAnsi" w:cstheme="minorHAnsi"/>
          <w:bCs/>
        </w:rPr>
        <w:t xml:space="preserve">Gradiška, </w:t>
      </w:r>
      <w:proofErr w:type="spellStart"/>
      <w:r>
        <w:rPr>
          <w:rFonts w:eastAsia="Times New Roman" w:asciiTheme="minorHAnsi" w:hAnsiTheme="minorHAnsi" w:cstheme="minorHAnsi"/>
          <w:bCs/>
        </w:rPr>
        <w:t>Teslić</w:t>
      </w:r>
      <w:proofErr w:type="spellEnd"/>
      <w:r>
        <w:rPr>
          <w:rFonts w:eastAsia="Times New Roman" w:asciiTheme="minorHAnsi" w:hAnsiTheme="minorHAnsi" w:cstheme="minorHAnsi"/>
          <w:bCs/>
        </w:rPr>
        <w:t xml:space="preserve">, Novo Sarajevo, Trebinje, Jablanica, and </w:t>
      </w:r>
      <w:proofErr w:type="spellStart"/>
      <w:r>
        <w:rPr>
          <w:rFonts w:eastAsia="Times New Roman" w:asciiTheme="minorHAnsi" w:hAnsiTheme="minorHAnsi" w:cstheme="minorHAnsi"/>
          <w:bCs/>
        </w:rPr>
        <w:t>Posušje</w:t>
      </w:r>
      <w:proofErr w:type="spellEnd"/>
      <w:r>
        <w:rPr>
          <w:rFonts w:eastAsia="Times New Roman" w:cstheme="minorHAnsi"/>
          <w:bCs/>
        </w:rPr>
        <w:t xml:space="preserve"> </w:t>
      </w:r>
      <w:r>
        <w:rPr>
          <w:rFonts w:eastAsia="Times New Roman" w:asciiTheme="minorHAnsi" w:hAnsiTheme="minorHAnsi" w:cstheme="minorHAnsi"/>
          <w:bCs/>
        </w:rPr>
        <w:t>have integrated SDG priorities into their existing strategic frameworks, ensuring that the principles of sustainability, inclusiveness, and transparency are reflected in their mid-term and annual planning and reporting documents.</w:t>
      </w:r>
      <w:r>
        <w:rPr>
          <w:rFonts w:eastAsia="Times New Roman" w:cstheme="minorHAnsi"/>
          <w:bCs/>
        </w:rPr>
        <w:t xml:space="preserve"> L</w:t>
      </w:r>
      <w:r>
        <w:rPr>
          <w:bCs/>
        </w:rPr>
        <w:t xml:space="preserve">ikewise, following the adoption of their new development strategies, </w:t>
      </w:r>
      <w:r>
        <w:rPr>
          <w:rStyle w:val="Strong"/>
          <w:b w:val="0"/>
        </w:rPr>
        <w:t xml:space="preserve">Bijeljina and </w:t>
      </w:r>
      <w:proofErr w:type="spellStart"/>
      <w:r>
        <w:rPr>
          <w:rStyle w:val="Strong"/>
          <w:b w:val="0"/>
        </w:rPr>
        <w:t>Laktaši</w:t>
      </w:r>
      <w:proofErr w:type="spellEnd"/>
      <w:r>
        <w:rPr>
          <w:bCs/>
        </w:rPr>
        <w:t xml:space="preserve"> have also incorporated SDG priorities into their strategic and operational planning processes, ensuring that the strategies are effectively translated into measurable actions and results.</w:t>
      </w:r>
    </w:p>
    <w:p w:rsidRPr="003D7404" w:rsidR="00861354" w:rsidP="00861354" w:rsidRDefault="00861354" w14:paraId="2A8A1AAE"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In addition to strategic alignment, the Programme placed strong emphasis on strengthening local capacities to design and implement </w:t>
      </w:r>
      <w:r>
        <w:rPr>
          <w:rFonts w:eastAsia="Times New Roman" w:cstheme="minorHAnsi"/>
          <w:bCs/>
        </w:rPr>
        <w:t xml:space="preserve">large infrastructure </w:t>
      </w:r>
      <w:r>
        <w:rPr>
          <w:rFonts w:eastAsia="Times New Roman" w:asciiTheme="minorHAnsi" w:hAnsiTheme="minorHAnsi" w:cstheme="minorHAnsi"/>
          <w:bCs/>
        </w:rPr>
        <w:t xml:space="preserve">projects. Following a series of targeted trainings on </w:t>
      </w:r>
      <w:r>
        <w:rPr>
          <w:rFonts w:eastAsia="Times New Roman" w:cstheme="minorHAnsi"/>
          <w:bCs/>
        </w:rPr>
        <w:t>preparation of large infrastructure projects and cost-benefit analysis</w:t>
      </w:r>
      <w:r>
        <w:rPr>
          <w:rFonts w:eastAsia="Times New Roman" w:asciiTheme="minorHAnsi" w:hAnsiTheme="minorHAnsi" w:cstheme="minorHAnsi"/>
          <w:bCs/>
        </w:rPr>
        <w:t>, all eight partner local governments identified and defined their own large-scale infrastructure projects contributing to SDG targets. Each LG received financial and technical support for the preparation of project documentation, including feasibility studies, conceptual designs, and main construction designs, making these projects ready for future investment.</w:t>
      </w:r>
    </w:p>
    <w:p w:rsidRPr="003D7404" w:rsidR="00861354" w:rsidP="00861354" w:rsidRDefault="00861354" w14:paraId="0F2E5935"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The total value of technical documentation prepared amounted to BAM 87</w:t>
      </w:r>
      <w:r>
        <w:rPr>
          <w:rFonts w:eastAsia="Times New Roman" w:cstheme="minorHAnsi"/>
          <w:bCs/>
        </w:rPr>
        <w:t>.</w:t>
      </w:r>
      <w:r>
        <w:rPr>
          <w:rFonts w:eastAsia="Times New Roman" w:asciiTheme="minorHAnsi" w:hAnsiTheme="minorHAnsi" w:cstheme="minorHAnsi"/>
          <w:bCs/>
        </w:rPr>
        <w:t>847</w:t>
      </w:r>
      <w:r>
        <w:rPr>
          <w:rFonts w:eastAsia="Times New Roman" w:cstheme="minorHAnsi"/>
          <w:bCs/>
        </w:rPr>
        <w:t>,00</w:t>
      </w:r>
      <w:r>
        <w:rPr>
          <w:rFonts w:eastAsia="Times New Roman" w:asciiTheme="minorHAnsi" w:hAnsiTheme="minorHAnsi" w:cstheme="minorHAnsi"/>
          <w:bCs/>
        </w:rPr>
        <w:t xml:space="preserve"> with local governments contributing 16% from their own budgets. These projects not only strengthen local infrastructure but also illustrate the growing ownership of local governments in driving SDG</w:t>
      </w:r>
      <w:r>
        <w:rPr>
          <w:rFonts w:eastAsia="Times New Roman" w:cstheme="minorHAnsi"/>
          <w:bCs/>
        </w:rPr>
        <w:t xml:space="preserve"> </w:t>
      </w:r>
      <w:r>
        <w:rPr>
          <w:rFonts w:eastAsia="Times New Roman" w:asciiTheme="minorHAnsi" w:hAnsiTheme="minorHAnsi" w:cstheme="minorHAnsi"/>
          <w:bCs/>
        </w:rPr>
        <w:t>oriented investments.</w:t>
      </w:r>
    </w:p>
    <w:p w:rsidRPr="003D7404" w:rsidR="00861354" w:rsidP="00861354" w:rsidRDefault="00861354" w14:paraId="0021117C"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A significant part of the Programme focused on the implementation of the SDG2BiH Grant Scheme, designed to support local initiatives that directly address social priorities and promote the </w:t>
      </w:r>
      <w:r>
        <w:rPr>
          <w:rFonts w:eastAsia="Times New Roman" w:asciiTheme="minorHAnsi" w:hAnsiTheme="minorHAnsi" w:cstheme="minorHAnsi"/>
          <w:bCs/>
          <w:i/>
          <w:iCs/>
        </w:rPr>
        <w:t>Leave No One Behind</w:t>
      </w:r>
      <w:r>
        <w:rPr>
          <w:rFonts w:eastAsia="Times New Roman" w:asciiTheme="minorHAnsi" w:hAnsiTheme="minorHAnsi" w:cstheme="minorHAnsi"/>
          <w:bCs/>
        </w:rPr>
        <w:t xml:space="preserve"> principle. Nine projects were implemented</w:t>
      </w:r>
      <w:r>
        <w:rPr>
          <w:rFonts w:eastAsia="Times New Roman" w:cstheme="minorHAnsi"/>
          <w:bCs/>
        </w:rPr>
        <w:t xml:space="preserve">, </w:t>
      </w:r>
      <w:r>
        <w:rPr>
          <w:rFonts w:eastAsia="Times New Roman" w:asciiTheme="minorHAnsi" w:hAnsiTheme="minorHAnsi" w:cstheme="minorHAnsi"/>
          <w:bCs/>
        </w:rPr>
        <w:t>eight focused on LNOB and one on broader development</w:t>
      </w:r>
      <w:r>
        <w:rPr>
          <w:rFonts w:eastAsia="Times New Roman" w:cstheme="minorHAnsi"/>
          <w:bCs/>
        </w:rPr>
        <w:t xml:space="preserve">, </w:t>
      </w:r>
      <w:r>
        <w:rPr>
          <w:rFonts w:eastAsia="Times New Roman" w:asciiTheme="minorHAnsi" w:hAnsiTheme="minorHAnsi" w:cstheme="minorHAnsi"/>
          <w:bCs/>
        </w:rPr>
        <w:t>amounting to BAM 1</w:t>
      </w:r>
      <w:r>
        <w:rPr>
          <w:rFonts w:eastAsia="Times New Roman" w:cstheme="minorHAnsi"/>
          <w:bCs/>
        </w:rPr>
        <w:t>.</w:t>
      </w:r>
      <w:r>
        <w:rPr>
          <w:rFonts w:eastAsia="Times New Roman" w:asciiTheme="minorHAnsi" w:hAnsiTheme="minorHAnsi" w:cstheme="minorHAnsi"/>
          <w:bCs/>
        </w:rPr>
        <w:t>312</w:t>
      </w:r>
      <w:r>
        <w:rPr>
          <w:rFonts w:eastAsia="Times New Roman" w:cstheme="minorHAnsi"/>
          <w:bCs/>
        </w:rPr>
        <w:t>.</w:t>
      </w:r>
      <w:r>
        <w:rPr>
          <w:rFonts w:eastAsia="Times New Roman" w:asciiTheme="minorHAnsi" w:hAnsiTheme="minorHAnsi" w:cstheme="minorHAnsi"/>
          <w:bCs/>
        </w:rPr>
        <w:t>288</w:t>
      </w:r>
      <w:r>
        <w:rPr>
          <w:rFonts w:eastAsia="Times New Roman" w:cstheme="minorHAnsi"/>
          <w:bCs/>
        </w:rPr>
        <w:t>,00</w:t>
      </w:r>
      <w:r>
        <w:rPr>
          <w:rFonts w:eastAsia="Times New Roman" w:asciiTheme="minorHAnsi" w:hAnsiTheme="minorHAnsi" w:cstheme="minorHAnsi"/>
          <w:bCs/>
        </w:rPr>
        <w:t xml:space="preserve"> with 25% co-financing from partner </w:t>
      </w:r>
      <w:r>
        <w:rPr>
          <w:rFonts w:eastAsia="Times New Roman" w:cstheme="minorHAnsi"/>
          <w:bCs/>
        </w:rPr>
        <w:t>local governments</w:t>
      </w:r>
      <w:r>
        <w:rPr>
          <w:rFonts w:eastAsia="Times New Roman" w:asciiTheme="minorHAnsi" w:hAnsiTheme="minorHAnsi" w:cstheme="minorHAnsi"/>
          <w:bCs/>
        </w:rPr>
        <w:t>.</w:t>
      </w:r>
    </w:p>
    <w:p w:rsidRPr="003D7404" w:rsidR="00FD1C42" w:rsidP="00FD1C42" w:rsidRDefault="00861354" w14:paraId="0FA8839D" w14:textId="77777777">
      <w:pPr>
        <w:spacing w:before="120"/>
        <w:jc w:val="both"/>
        <w:rPr>
          <w:rFonts w:eastAsia="Calibri"/>
          <w:bCs/>
        </w:rPr>
      </w:pPr>
      <w:r>
        <w:rPr>
          <w:rFonts w:eastAsia="Times New Roman" w:asciiTheme="minorHAnsi" w:hAnsiTheme="minorHAnsi" w:cstheme="minorHAnsi"/>
          <w:bCs/>
        </w:rPr>
        <w:t xml:space="preserve">These projects have created visible and measurable improvements in local communities. Six inclusive playgrounds were constructed in Trebinje, Jablanica, </w:t>
      </w:r>
      <w:proofErr w:type="spellStart"/>
      <w:r>
        <w:rPr>
          <w:rFonts w:eastAsia="Times New Roman" w:asciiTheme="minorHAnsi" w:hAnsiTheme="minorHAnsi" w:cstheme="minorHAnsi"/>
          <w:bCs/>
        </w:rPr>
        <w:t>Posušje</w:t>
      </w:r>
      <w:proofErr w:type="spellEnd"/>
      <w:r>
        <w:rPr>
          <w:rFonts w:eastAsia="Times New Roman" w:asciiTheme="minorHAnsi" w:hAnsiTheme="minorHAnsi" w:cstheme="minorHAnsi"/>
          <w:bCs/>
        </w:rPr>
        <w:t xml:space="preserve">, Novo Sarajevo, </w:t>
      </w:r>
      <w:proofErr w:type="spellStart"/>
      <w:r>
        <w:rPr>
          <w:rFonts w:eastAsia="Times New Roman" w:asciiTheme="minorHAnsi" w:hAnsiTheme="minorHAnsi" w:cstheme="minorHAnsi"/>
          <w:bCs/>
        </w:rPr>
        <w:t>Teslić</w:t>
      </w:r>
      <w:proofErr w:type="spellEnd"/>
      <w:r>
        <w:rPr>
          <w:rFonts w:eastAsia="Times New Roman" w:asciiTheme="minorHAnsi" w:hAnsiTheme="minorHAnsi" w:cstheme="minorHAnsi"/>
          <w:bCs/>
        </w:rPr>
        <w:t xml:space="preserve">, and Bijeljina, providing children with developmental and behavioral difficulties safe and stimulating environments. </w:t>
      </w:r>
      <w:r>
        <w:rPr>
          <w:rFonts w:eastAsia="Calibri"/>
          <w:bCs/>
        </w:rPr>
        <w:t>A vocational education classroom for IT education was equipped in a secondary school in Bijeljina, while painting and decorating as well as bookbinding workshops were equipped in Novo Sarajevo. All necessary didactic tools, equipment, materials, and qualified professional staff were provided to support the delivery of new and improved services across all eight partner locations.</w:t>
      </w:r>
    </w:p>
    <w:p w:rsidRPr="003D7404" w:rsidR="00861354" w:rsidP="003E710B" w:rsidRDefault="00861354" w14:paraId="488C92E6" w14:textId="52AB1D04">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New or improved social services were established in all </w:t>
      </w:r>
      <w:proofErr w:type="gramStart"/>
      <w:r>
        <w:rPr>
          <w:rFonts w:eastAsia="Times New Roman" w:asciiTheme="minorHAnsi" w:hAnsiTheme="minorHAnsi" w:cstheme="minorHAnsi"/>
          <w:bCs/>
        </w:rPr>
        <w:t>partner</w:t>
      </w:r>
      <w:proofErr w:type="gramEnd"/>
      <w:r>
        <w:rPr>
          <w:rFonts w:eastAsia="Times New Roman" w:asciiTheme="minorHAnsi" w:hAnsiTheme="minorHAnsi" w:cstheme="minorHAnsi"/>
          <w:bCs/>
        </w:rPr>
        <w:t xml:space="preserve"> local governments, ranging from day care centers and sensory rooms to psychosocial support services, </w:t>
      </w:r>
      <w:r>
        <w:rPr>
          <w:rFonts w:eastAsia="Times New Roman" w:asciiTheme="minorHAnsi" w:hAnsiTheme="minorHAnsi" w:cstheme="minorBidi"/>
          <w:bCs/>
        </w:rPr>
        <w:t xml:space="preserve">speech therapists </w:t>
      </w:r>
      <w:r>
        <w:rPr>
          <w:rFonts w:eastAsia="Calibri"/>
          <w:bCs/>
        </w:rPr>
        <w:t>and parental skills capacity-building activities</w:t>
      </w:r>
      <w:r>
        <w:rPr>
          <w:rFonts w:eastAsia="Times New Roman" w:asciiTheme="minorHAnsi" w:hAnsiTheme="minorHAnsi" w:cstheme="minorHAnsi"/>
          <w:bCs/>
        </w:rPr>
        <w:t xml:space="preserve"> directly benefiting </w:t>
      </w:r>
      <w:r>
        <w:rPr>
          <w:rFonts w:eastAsia="Times New Roman" w:cstheme="minorHAnsi"/>
          <w:bCs/>
        </w:rPr>
        <w:t>25</w:t>
      </w:r>
      <w:r>
        <w:rPr>
          <w:rFonts w:eastAsia="Times New Roman" w:asciiTheme="minorHAnsi" w:hAnsiTheme="minorHAnsi" w:cstheme="minorHAnsi"/>
          <w:bCs/>
        </w:rPr>
        <w:t>,</w:t>
      </w:r>
      <w:r>
        <w:rPr>
          <w:rFonts w:eastAsia="Times New Roman" w:cstheme="minorHAnsi"/>
          <w:bCs/>
        </w:rPr>
        <w:t>823</w:t>
      </w:r>
      <w:r>
        <w:rPr>
          <w:rFonts w:eastAsia="Times New Roman" w:asciiTheme="minorHAnsi" w:hAnsiTheme="minorHAnsi" w:cstheme="minorHAnsi"/>
          <w:bCs/>
        </w:rPr>
        <w:t xml:space="preserve"> people (including </w:t>
      </w:r>
      <w:r>
        <w:rPr>
          <w:rFonts w:eastAsia="Times New Roman" w:cstheme="minorHAnsi"/>
          <w:bCs/>
        </w:rPr>
        <w:t xml:space="preserve">51% women and over 5,000 </w:t>
      </w:r>
      <w:r>
        <w:rPr>
          <w:rFonts w:eastAsia="Times New Roman" w:asciiTheme="minorHAnsi" w:hAnsiTheme="minorHAnsi" w:cstheme="minorHAnsi"/>
          <w:bCs/>
        </w:rPr>
        <w:t xml:space="preserve">children and youth). </w:t>
      </w:r>
      <w:r>
        <w:rPr>
          <w:rFonts w:eastAsia="Calibri"/>
          <w:bCs/>
        </w:rPr>
        <w:t>During the implementation of local projects, services were directly provided to 1,854 children and youth (1,036 male and 818 female) and 779 parents (337 male and 442 female), with continued service provision further expanding the reach and long-term impact of the interventions.</w:t>
      </w:r>
    </w:p>
    <w:p w:rsidRPr="001A71E2" w:rsidR="00CA2FC6" w:rsidP="00CA2FC6" w:rsidRDefault="00CA2FC6" w14:paraId="5821E50F" w14:textId="77777777">
      <w:pPr>
        <w:jc w:val="center"/>
        <w:rPr>
          <w:b/>
          <w:bCs/>
        </w:rPr>
      </w:pPr>
      <w:r>
        <w:rPr>
          <w:b/>
          <w:bCs/>
        </w:rPr>
        <w:t>Impact Mapping: Localization Infographic</w:t>
      </w:r>
    </w:p>
    <w:tbl>
      <w:tblPr>
        <w:tblW w:w="0" w:type="auto"/>
        <w:jc w:val="center"/>
        <w:tblLook w:val="04A0" w:firstRow="1" w:lastRow="0" w:firstColumn="1" w:lastColumn="0" w:noHBand="0" w:noVBand="1"/>
      </w:tblPr>
      <w:tblGrid>
        <w:gridCol w:w="3360"/>
        <w:gridCol w:w="3360"/>
        <w:gridCol w:w="3360"/>
      </w:tblGrid>
      <w:tr w:rsidR="00CA2FC6" w14:paraId="311CB633" w14:textId="77777777">
        <w:trPr>
          <w:jc w:val="center"/>
        </w:trPr>
        <w:tc>
          <w:tcPr>
            <w:tcW w:w="3360" w:type="dxa"/>
            <w:shd w:val="clear" w:color="auto" w:fill="F9F9F9"/>
          </w:tcPr>
          <w:p w:rsidR="00CA2FC6" w:rsidRDefault="00CA2FC6" w14:paraId="275D5EAC" w14:textId="77777777">
            <w:r>
              <w:rPr>
                <w:b/>
                <w:color w:val="E5243B"/>
              </w:rPr>
              <w:t>■ BIJELJINA</w:t>
            </w:r>
            <w:r>
              <w:rPr>
                <w:b/>
                <w:color w:val="E5243B"/>
              </w:rPr>
              <w:br/>
            </w:r>
            <w:r>
              <w:rPr>
                <w:i/>
                <w:sz w:val="18"/>
              </w:rPr>
              <w:t xml:space="preserve">SDG Strategy, Inclusive Playground, IT </w:t>
            </w:r>
            <w:r>
              <w:rPr>
                <w:i/>
                <w:sz w:val="18"/>
              </w:rPr>
              <w:t>Classroom</w:t>
            </w:r>
            <w:r>
              <w:rPr>
                <w:i/>
                <w:sz w:val="18"/>
              </w:rPr>
              <w:br/>
            </w:r>
            <w:r>
              <w:rPr>
                <w:b/>
                <w:color w:val="808080"/>
                <w:sz w:val="16"/>
              </w:rPr>
              <w:t>Impact: LNOB &amp; Education</w:t>
            </w:r>
          </w:p>
        </w:tc>
        <w:tc>
          <w:tcPr>
            <w:tcW w:w="3360" w:type="dxa"/>
            <w:shd w:val="clear" w:color="auto" w:fill="F9F9F9"/>
          </w:tcPr>
          <w:p w:rsidR="00CA2FC6" w:rsidRDefault="00CA2FC6" w14:paraId="4405A761" w14:textId="77777777">
            <w:r>
              <w:rPr>
                <w:b/>
                <w:color w:val="FF3A21"/>
              </w:rPr>
              <w:t>■ GRADIŠKA</w:t>
            </w:r>
            <w:r>
              <w:rPr>
                <w:b/>
                <w:color w:val="FF3A21"/>
              </w:rPr>
              <w:br/>
            </w:r>
            <w:r>
              <w:rPr>
                <w:i/>
                <w:sz w:val="18"/>
              </w:rPr>
              <w:t xml:space="preserve">Local Action Plan 2025-26, Social </w:t>
            </w:r>
            <w:r>
              <w:rPr>
                <w:i/>
                <w:sz w:val="18"/>
              </w:rPr>
              <w:t>Protection</w:t>
            </w:r>
            <w:r>
              <w:rPr>
                <w:i/>
                <w:sz w:val="18"/>
              </w:rPr>
              <w:br/>
            </w:r>
            <w:r>
              <w:rPr>
                <w:b/>
                <w:color w:val="808080"/>
                <w:sz w:val="16"/>
              </w:rPr>
              <w:t>Impact: Governance</w:t>
            </w:r>
          </w:p>
        </w:tc>
        <w:tc>
          <w:tcPr>
            <w:tcW w:w="3360" w:type="dxa"/>
            <w:shd w:val="clear" w:color="auto" w:fill="F9F9F9"/>
          </w:tcPr>
          <w:p w:rsidR="00CA2FC6" w:rsidRDefault="00CA2FC6" w14:paraId="27F3053D" w14:textId="77777777">
            <w:r>
              <w:rPr>
                <w:b/>
                <w:color w:val="D3A029"/>
              </w:rPr>
              <w:t>■ JABLANICA</w:t>
            </w:r>
            <w:r>
              <w:rPr>
                <w:b/>
                <w:color w:val="D3A029"/>
              </w:rPr>
              <w:br/>
            </w:r>
            <w:r>
              <w:rPr>
                <w:i/>
                <w:sz w:val="18"/>
              </w:rPr>
              <w:t>Inclusive Playground, Referral Mechanism</w:t>
            </w:r>
            <w:r>
              <w:rPr>
                <w:i/>
                <w:sz w:val="18"/>
              </w:rPr>
              <w:br/>
            </w:r>
            <w:r>
              <w:rPr>
                <w:b/>
                <w:color w:val="808080"/>
                <w:sz w:val="16"/>
              </w:rPr>
              <w:t>Impact: LNOB</w:t>
            </w:r>
          </w:p>
        </w:tc>
      </w:tr>
      <w:tr w:rsidR="00CA2FC6" w14:paraId="1E2BD690" w14:textId="77777777">
        <w:trPr>
          <w:jc w:val="center"/>
        </w:trPr>
        <w:tc>
          <w:tcPr>
            <w:tcW w:w="3360" w:type="dxa"/>
            <w:shd w:val="clear" w:color="auto" w:fill="F9F9F9"/>
          </w:tcPr>
          <w:p w:rsidR="00CA2FC6" w:rsidRDefault="00CA2FC6" w14:paraId="35868F7B" w14:textId="77777777">
            <w:r>
              <w:rPr>
                <w:b/>
                <w:color w:val="268D49"/>
              </w:rPr>
              <w:t>■ LAKTAŠI</w:t>
            </w:r>
            <w:r>
              <w:rPr>
                <w:b/>
                <w:color w:val="268D49"/>
              </w:rPr>
              <w:br/>
            </w:r>
            <w:r>
              <w:rPr>
                <w:i/>
                <w:sz w:val="18"/>
              </w:rPr>
              <w:t>SDG Strategy, Vulnerable Group Services</w:t>
            </w:r>
            <w:r>
              <w:rPr>
                <w:i/>
                <w:sz w:val="18"/>
              </w:rPr>
              <w:br/>
            </w:r>
            <w:r>
              <w:rPr>
                <w:b/>
                <w:color w:val="808080"/>
                <w:sz w:val="16"/>
              </w:rPr>
              <w:t>Impact: Strategic Alignment</w:t>
            </w:r>
          </w:p>
        </w:tc>
        <w:tc>
          <w:tcPr>
            <w:tcW w:w="3360" w:type="dxa"/>
            <w:shd w:val="clear" w:color="auto" w:fill="F9F9F9"/>
          </w:tcPr>
          <w:p w:rsidR="00CA2FC6" w:rsidRDefault="00CA2FC6" w14:paraId="063B2A11" w14:textId="77777777">
            <w:r>
              <w:rPr>
                <w:b/>
                <w:color w:val="00689D"/>
              </w:rPr>
              <w:t>■ NOVO SARAJEVO</w:t>
            </w:r>
            <w:r>
              <w:rPr>
                <w:b/>
                <w:color w:val="00689D"/>
              </w:rPr>
              <w:br/>
            </w:r>
            <w:r>
              <w:rPr>
                <w:i/>
                <w:sz w:val="18"/>
              </w:rPr>
              <w:t>SPI Multisectoral Team, Bookbinding Workshops</w:t>
            </w:r>
            <w:r>
              <w:rPr>
                <w:i/>
                <w:sz w:val="18"/>
              </w:rPr>
              <w:br/>
            </w:r>
            <w:r>
              <w:rPr>
                <w:b/>
                <w:color w:val="808080"/>
                <w:sz w:val="16"/>
              </w:rPr>
              <w:t>Impact: Inclusion</w:t>
            </w:r>
          </w:p>
        </w:tc>
        <w:tc>
          <w:tcPr>
            <w:tcW w:w="3360" w:type="dxa"/>
            <w:shd w:val="clear" w:color="auto" w:fill="F9F9F9"/>
          </w:tcPr>
          <w:p w:rsidR="00CA2FC6" w:rsidRDefault="00CA2FC6" w14:paraId="26C9937C" w14:textId="77777777">
            <w:r>
              <w:rPr>
                <w:b/>
                <w:color w:val="A21942"/>
              </w:rPr>
              <w:t>■ POSUŠJE</w:t>
            </w:r>
            <w:r>
              <w:rPr>
                <w:b/>
                <w:color w:val="A21942"/>
              </w:rPr>
              <w:br/>
            </w:r>
            <w:r>
              <w:rPr>
                <w:i/>
                <w:sz w:val="18"/>
              </w:rPr>
              <w:t>Inclusive Playground, SPI referral protocols</w:t>
            </w:r>
            <w:r>
              <w:rPr>
                <w:i/>
                <w:sz w:val="18"/>
              </w:rPr>
              <w:br/>
            </w:r>
            <w:r>
              <w:rPr>
                <w:b/>
                <w:color w:val="808080"/>
                <w:sz w:val="16"/>
              </w:rPr>
              <w:t>Impact: LNOB</w:t>
            </w:r>
          </w:p>
        </w:tc>
      </w:tr>
      <w:tr w:rsidR="00CA2FC6" w14:paraId="16B3D459" w14:textId="77777777">
        <w:trPr>
          <w:jc w:val="center"/>
        </w:trPr>
        <w:tc>
          <w:tcPr>
            <w:tcW w:w="3360" w:type="dxa"/>
            <w:shd w:val="clear" w:color="auto" w:fill="F9F9F9"/>
          </w:tcPr>
          <w:p w:rsidR="00CA2FC6" w:rsidRDefault="00CA2FC6" w14:paraId="12D315FA" w14:textId="77777777">
            <w:r>
              <w:rPr>
                <w:b/>
                <w:color w:val="E5243B"/>
              </w:rPr>
              <w:t>■ TESLIĆ</w:t>
            </w:r>
            <w:r>
              <w:rPr>
                <w:b/>
                <w:color w:val="E5243B"/>
              </w:rPr>
              <w:br/>
            </w:r>
            <w:r>
              <w:rPr>
                <w:i/>
                <w:sz w:val="18"/>
              </w:rPr>
              <w:t>Local Action Plan 2025-26, Inclusive Playground</w:t>
            </w:r>
            <w:r>
              <w:rPr>
                <w:i/>
                <w:sz w:val="18"/>
              </w:rPr>
              <w:br/>
            </w:r>
            <w:r>
              <w:rPr>
                <w:b/>
                <w:color w:val="808080"/>
                <w:sz w:val="16"/>
              </w:rPr>
              <w:t>Impact: Governance</w:t>
            </w:r>
          </w:p>
        </w:tc>
        <w:tc>
          <w:tcPr>
            <w:tcW w:w="3360" w:type="dxa"/>
            <w:shd w:val="clear" w:color="auto" w:fill="F9F9F9"/>
          </w:tcPr>
          <w:p w:rsidR="00CA2FC6" w:rsidRDefault="00CA2FC6" w14:paraId="46FECC1F" w14:textId="77777777">
            <w:r>
              <w:rPr>
                <w:b/>
                <w:color w:val="FF3A21"/>
              </w:rPr>
              <w:t>■ TREBINJE</w:t>
            </w:r>
            <w:r>
              <w:rPr>
                <w:b/>
                <w:color w:val="FF3A21"/>
              </w:rPr>
              <w:br/>
            </w:r>
            <w:r>
              <w:rPr>
                <w:i/>
                <w:sz w:val="18"/>
              </w:rPr>
              <w:t>Inclusive Playground, Coordination Model</w:t>
            </w:r>
            <w:r>
              <w:rPr>
                <w:i/>
                <w:sz w:val="18"/>
              </w:rPr>
              <w:br/>
            </w:r>
            <w:r>
              <w:rPr>
                <w:b/>
                <w:color w:val="808080"/>
                <w:sz w:val="16"/>
              </w:rPr>
              <w:t>Impact: LNOB</w:t>
            </w:r>
          </w:p>
        </w:tc>
        <w:tc>
          <w:tcPr>
            <w:tcW w:w="3360" w:type="dxa"/>
            <w:shd w:val="clear" w:color="auto" w:fill="F9F9F9"/>
          </w:tcPr>
          <w:p w:rsidR="00CA2FC6" w:rsidRDefault="00CA2FC6" w14:paraId="37E992DC" w14:textId="77777777">
            <w:r>
              <w:rPr>
                <w:b/>
                <w:color w:val="00689D"/>
              </w:rPr>
              <w:t>■ TUZLA CANTON</w:t>
            </w:r>
            <w:r>
              <w:rPr>
                <w:b/>
                <w:color w:val="00689D"/>
              </w:rPr>
              <w:br/>
            </w:r>
            <w:r>
              <w:rPr>
                <w:i/>
                <w:sz w:val="18"/>
              </w:rPr>
              <w:t>Digital Economic System, Day Care Center</w:t>
            </w:r>
            <w:r>
              <w:rPr>
                <w:i/>
                <w:sz w:val="18"/>
              </w:rPr>
              <w:br/>
            </w:r>
            <w:r>
              <w:rPr>
                <w:b/>
                <w:color w:val="808080"/>
                <w:sz w:val="16"/>
              </w:rPr>
              <w:t>Impact: Growth</w:t>
            </w:r>
          </w:p>
        </w:tc>
      </w:tr>
      <w:tr w:rsidR="00CA2FC6" w14:paraId="1842E45F" w14:textId="77777777">
        <w:trPr>
          <w:jc w:val="center"/>
        </w:trPr>
        <w:tc>
          <w:tcPr>
            <w:tcW w:w="3360" w:type="dxa"/>
            <w:shd w:val="clear" w:color="auto" w:fill="F9F9F9"/>
          </w:tcPr>
          <w:p w:rsidR="00CA2FC6" w:rsidRDefault="00CA2FC6" w14:paraId="0BE60652" w14:textId="77777777">
            <w:r>
              <w:rPr>
                <w:b/>
                <w:color w:val="268D49"/>
              </w:rPr>
              <w:t>■ UNA-SANA CANTON</w:t>
            </w:r>
            <w:r>
              <w:rPr>
                <w:b/>
                <w:color w:val="268D49"/>
              </w:rPr>
              <w:br/>
            </w:r>
            <w:r>
              <w:rPr>
                <w:i/>
                <w:sz w:val="18"/>
              </w:rPr>
              <w:t>RIA By-law, Kinesitherapy Dept</w:t>
            </w:r>
            <w:r>
              <w:rPr>
                <w:i/>
                <w:sz w:val="18"/>
              </w:rPr>
              <w:br/>
            </w:r>
            <w:r>
              <w:rPr>
                <w:b/>
                <w:color w:val="808080"/>
                <w:sz w:val="16"/>
              </w:rPr>
              <w:t>Impact: Health &amp; Policy</w:t>
            </w:r>
          </w:p>
        </w:tc>
        <w:tc>
          <w:tcPr>
            <w:tcW w:w="3360" w:type="dxa"/>
            <w:shd w:val="clear" w:color="auto" w:fill="F9F9F9"/>
          </w:tcPr>
          <w:p w:rsidR="00CA2FC6" w:rsidRDefault="00CA2FC6" w14:paraId="128D1CCF" w14:textId="77777777">
            <w:r>
              <w:rPr>
                <w:b/>
                <w:color w:val="A21942"/>
              </w:rPr>
              <w:t>■ W. HERZEGOVINA CANTON</w:t>
            </w:r>
            <w:r>
              <w:rPr>
                <w:b/>
                <w:color w:val="A21942"/>
              </w:rPr>
              <w:br/>
            </w:r>
            <w:r>
              <w:rPr>
                <w:i/>
                <w:sz w:val="18"/>
              </w:rPr>
              <w:t>VET Education Reform, 4 Schools Equipped</w:t>
            </w:r>
            <w:r>
              <w:rPr>
                <w:i/>
                <w:sz w:val="18"/>
              </w:rPr>
              <w:br/>
            </w:r>
            <w:r>
              <w:rPr>
                <w:b/>
                <w:color w:val="808080"/>
                <w:sz w:val="16"/>
              </w:rPr>
              <w:t>Impact: Education</w:t>
            </w:r>
          </w:p>
        </w:tc>
        <w:tc>
          <w:tcPr>
            <w:tcW w:w="3360" w:type="dxa"/>
          </w:tcPr>
          <w:p w:rsidR="00CA2FC6" w:rsidRDefault="00CA2FC6" w14:paraId="4A96DA56" w14:textId="77777777"/>
        </w:tc>
      </w:tr>
    </w:tbl>
    <w:p w:rsidR="003E710B" w:rsidP="00B06827" w:rsidRDefault="00861354" w14:paraId="4E1665AE" w14:textId="0FACF66F">
      <w:pPr>
        <w:spacing w:before="120"/>
        <w:jc w:val="both"/>
        <w:rPr>
          <w:rFonts w:eastAsia="Times New Roman" w:asciiTheme="minorHAnsi" w:hAnsiTheme="minorHAnsi" w:cstheme="minorHAnsi"/>
          <w:bCs/>
        </w:rPr>
      </w:pPr>
      <w:r>
        <w:rPr>
          <w:rFonts w:eastAsia="Times New Roman" w:asciiTheme="minorHAnsi" w:hAnsiTheme="minorHAnsi" w:cstheme="minorHAnsi"/>
          <w:bCs/>
        </w:rPr>
        <w:t>The implementation of these initiatives was accompanied by the introduction of the Social Protection and Inclusion (SPI) model, led by UNICEF. SPI Commissions were established in seven local governments, and a specialized Multisectoral Working Group was formed in Novo Sarajevo, focusing on inclusive employment for youth with disabilities. These multisectoral bodies bring together representatives from local governance, social welfare, education, health, civil society, and the private sector, creating sustainable coordination mechanisms for social protection and inclusion.</w:t>
      </w:r>
    </w:p>
    <w:p w:rsidRPr="003D7404" w:rsidR="00B06827" w:rsidP="00B06827" w:rsidRDefault="00861354" w14:paraId="2B41DCF9" w14:textId="4D4E40BD">
      <w:pPr>
        <w:spacing w:before="120"/>
        <w:jc w:val="both"/>
        <w:rPr>
          <w:bCs/>
        </w:rPr>
      </w:pPr>
      <w:r>
        <w:rPr>
          <w:rFonts w:eastAsia="Times New Roman" w:asciiTheme="minorHAnsi" w:hAnsiTheme="minorHAnsi" w:cstheme="minorHAnsi"/>
          <w:bCs/>
        </w:rPr>
        <w:t>Operational Teams were formed to support the work of these structures.</w:t>
      </w:r>
      <w:r>
        <w:rPr>
          <w:rFonts w:eastAsia="Calibri"/>
          <w:bCs/>
        </w:rPr>
        <w:t xml:space="preserve"> Referral mechanisms were defined across all eight partner locations to ensure coordinated service delivery. Cooperation Protocols were signed, regulating referral mechanisms, integrating new and improved services, and ensuring the sustainability of results.</w:t>
      </w:r>
    </w:p>
    <w:p w:rsidRPr="003D7404" w:rsidR="00B06827" w:rsidP="00B06827" w:rsidRDefault="00B06827" w14:paraId="18C6F9D3" w14:textId="77777777">
      <w:pPr>
        <w:spacing w:before="120"/>
        <w:jc w:val="both"/>
        <w:rPr>
          <w:rFonts w:eastAsia="Calibri"/>
          <w:bCs/>
        </w:rPr>
      </w:pPr>
      <w:r>
        <w:rPr>
          <w:rFonts w:eastAsia="Calibri"/>
          <w:bCs/>
        </w:rPr>
        <w:t xml:space="preserve">Local Action Plans for the two-year period (in </w:t>
      </w:r>
      <w:proofErr w:type="spellStart"/>
      <w:r>
        <w:rPr>
          <w:rFonts w:eastAsia="Calibri"/>
          <w:bCs/>
        </w:rPr>
        <w:t>Teslić</w:t>
      </w:r>
      <w:proofErr w:type="spellEnd"/>
      <w:r>
        <w:rPr>
          <w:rFonts w:eastAsia="Calibri"/>
          <w:bCs/>
        </w:rPr>
        <w:t xml:space="preserve"> and Gradiška for 2025–2026 in others for 2026-2027) were developed to further institutionalize these services and ensure their sustainability, thereby strengthening the social protection system at the local level.</w:t>
      </w:r>
    </w:p>
    <w:p w:rsidRPr="003D7404" w:rsidR="00B11F37" w:rsidP="00861354" w:rsidRDefault="00B11F37" w14:paraId="33C9FC18" w14:textId="720CB0FF">
      <w:pPr>
        <w:spacing w:before="120"/>
        <w:jc w:val="both"/>
        <w:rPr>
          <w:rFonts w:eastAsia="Times New Roman" w:asciiTheme="minorHAnsi" w:hAnsiTheme="minorHAnsi" w:cstheme="minorHAnsi"/>
          <w:bCs/>
        </w:rPr>
      </w:pPr>
      <w:r>
        <w:rPr>
          <w:rFonts w:eastAsia="Calibri"/>
          <w:bCs/>
        </w:rPr>
        <w:t>Capacity building was at the heart of the process, with over 380 professionals from the social protection and education sectors strengthening their professional capacities through intensive project support, resulting in higher-quality services for final beneficiaries. In parallel, 142 members of Social Protection and Inclusion (SZI) Commissions, Operational Teams, and Working Groups were trained on the basic principles and functioning of the SZI model, SDG-based planning, social inclusion, and participatory governance.</w:t>
      </w:r>
    </w:p>
    <w:p w:rsidRPr="003D7404" w:rsidR="00861354" w:rsidP="00861354" w:rsidRDefault="00861354" w14:paraId="66D8FE08"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Overall, Output 2.1 has transformed local governments from beneficiaries of assistance into active leaders in SDG implementation. Through strengthened capacities, institutionalized cooperation, and practical service improvements, the Programme has established a solid foundation for inclusive local governance that ensures no one is left behind.</w:t>
      </w:r>
    </w:p>
    <w:p w:rsidRPr="003D7404" w:rsidR="00474AEF" w:rsidP="000B4360" w:rsidRDefault="00EF1206" w14:paraId="2D966687" w14:textId="77777777">
      <w:pPr>
        <w:spacing w:line="257" w:lineRule="auto"/>
        <w:jc w:val="both"/>
        <w:rPr>
          <w:rFonts w:asciiTheme="minorHAnsi" w:hAnsiTheme="minorHAnsi" w:eastAsiaTheme="minorEastAsia" w:cstheme="minorBidi"/>
          <w:bCs/>
        </w:rPr>
      </w:pPr>
      <w:r>
        <w:rPr>
          <w:rFonts w:asciiTheme="minorHAnsi" w:hAnsiTheme="minorHAnsi" w:eastAsiaTheme="minorEastAsia" w:cstheme="minorBidi"/>
          <w:bCs/>
        </w:rPr>
        <w:t xml:space="preserve"> </w:t>
      </w:r>
    </w:p>
    <w:p w:rsidRPr="003E710B" w:rsidR="28A967E7" w:rsidP="008366DA" w:rsidRDefault="28A967E7" w14:paraId="7DE818EA" w14:textId="77777777">
      <w:pPr>
        <w:pStyle w:val="Heading2"/>
        <w:pBdr>
          <w:bottom w:val="single" w:color="0468B1" w:sz="6" w:space="1"/>
        </w:pBdr>
        <w:shd w:val="clear" w:color="auto" w:fill="FFFFFF" w:themeFill="background1"/>
        <w:spacing w:before="240"/>
        <w:jc w:val="both"/>
        <w:rPr>
          <w:rFonts w:eastAsia="Calibri"/>
          <w:b/>
          <w:color w:val="000000" w:themeColor="text1"/>
          <w:sz w:val="24"/>
          <w:szCs w:val="24"/>
          <w:lang w:val="en-GB"/>
        </w:rPr>
      </w:pPr>
      <w:bookmarkStart w:name="_Toc221887267" w:id="34"/>
      <w:r>
        <w:rPr>
          <w:rFonts w:eastAsia="Calibri"/>
          <w:b/>
          <w:color w:val="0468B1"/>
          <w:sz w:val="28"/>
          <w:szCs w:val="24"/>
          <w:lang w:val="en-GB"/>
        </w:rPr>
        <w:t xml:space="preserve">Output 2.2. Cantonal capabilities to plan, finance, implement, </w:t>
      </w:r>
      <w:proofErr w:type="gramStart"/>
      <w:r>
        <w:rPr>
          <w:rFonts w:eastAsia="Calibri"/>
          <w:b/>
          <w:color w:val="0468B1"/>
          <w:sz w:val="28"/>
          <w:szCs w:val="24"/>
          <w:lang w:val="en-GB"/>
        </w:rPr>
        <w:t>monitor</w:t>
      </w:r>
      <w:proofErr w:type="gramEnd"/>
      <w:r>
        <w:rPr>
          <w:rFonts w:eastAsia="Calibri"/>
          <w:b/>
          <w:color w:val="0468B1"/>
          <w:sz w:val="28"/>
          <w:szCs w:val="24"/>
          <w:lang w:val="en-GB"/>
        </w:rPr>
        <w:t xml:space="preserve"> and report on their SDG achievements enhanced (up to 3 cantons)</w:t>
      </w:r>
      <w:bookmarkEnd w:id="34"/>
    </w:p>
    <w:tbl>
      <w:tblPr>
        <w:tblW w:w="0" w:type="auto"/>
        <w:jc w:val="center"/>
        <w:tblLook w:val="04A0" w:firstRow="1" w:lastRow="0" w:firstColumn="1" w:lastColumn="0" w:noHBand="0" w:noVBand="1"/>
      </w:tblPr>
      <w:tblGrid>
        <w:gridCol w:w="2520"/>
        <w:gridCol w:w="2520"/>
        <w:gridCol w:w="2520"/>
        <w:gridCol w:w="2520"/>
      </w:tblGrid>
      <w:tr w:rsidR="00A11601" w14:paraId="7A037772" w14:textId="77777777">
        <w:trPr>
          <w:jc w:val="center"/>
        </w:trPr>
        <w:tc>
          <w:tcPr>
            <w:tcW w:w="2520" w:type="dxa"/>
            <w:shd w:val="clear" w:color="auto" w:fill="00689D"/>
          </w:tcPr>
          <w:p w:rsidR="00A11601" w:rsidRDefault="00CC23C9" w14:paraId="117C882A" w14:textId="77777777">
            <w:pPr>
              <w:jc w:val="center"/>
            </w:pPr>
            <w:r>
              <w:rPr>
                <w:b/>
                <w:color w:val="FFFFFF"/>
                <w:sz w:val="14"/>
              </w:rPr>
              <w:t>CANTONS</w:t>
            </w:r>
          </w:p>
        </w:tc>
        <w:tc>
          <w:tcPr>
            <w:tcW w:w="2520" w:type="dxa"/>
            <w:shd w:val="clear" w:color="auto" w:fill="A21942"/>
          </w:tcPr>
          <w:p w:rsidR="00A11601" w:rsidRDefault="00CC23C9" w14:paraId="71805EB7" w14:textId="77777777">
            <w:pPr>
              <w:jc w:val="center"/>
            </w:pPr>
            <w:r>
              <w:rPr>
                <w:b/>
                <w:color w:val="FFFFFF"/>
                <w:sz w:val="14"/>
              </w:rPr>
              <w:t>BENEFICIARIES</w:t>
            </w:r>
          </w:p>
        </w:tc>
        <w:tc>
          <w:tcPr>
            <w:tcW w:w="2520" w:type="dxa"/>
            <w:shd w:val="clear" w:color="auto" w:fill="268D49"/>
          </w:tcPr>
          <w:p w:rsidR="00A11601" w:rsidRDefault="00CC23C9" w14:paraId="64BE79CE" w14:textId="77777777">
            <w:pPr>
              <w:jc w:val="center"/>
            </w:pPr>
            <w:r>
              <w:rPr>
                <w:b/>
                <w:color w:val="FFFFFF"/>
                <w:sz w:val="14"/>
              </w:rPr>
              <w:t>CO-FINANCING</w:t>
            </w:r>
          </w:p>
        </w:tc>
        <w:tc>
          <w:tcPr>
            <w:tcW w:w="2520" w:type="dxa"/>
            <w:shd w:val="clear" w:color="auto" w:fill="F99D26"/>
          </w:tcPr>
          <w:p w:rsidR="00A11601" w:rsidRDefault="00CC23C9" w14:paraId="7A53C041" w14:textId="77777777">
            <w:pPr>
              <w:jc w:val="center"/>
            </w:pPr>
            <w:r>
              <w:rPr>
                <w:b/>
                <w:color w:val="FFFFFF"/>
                <w:sz w:val="14"/>
              </w:rPr>
              <w:t>PROJECTS</w:t>
            </w:r>
          </w:p>
        </w:tc>
      </w:tr>
      <w:tr w:rsidR="00A11601" w14:paraId="6CEB1D46" w14:textId="77777777">
        <w:trPr>
          <w:jc w:val="center"/>
        </w:trPr>
        <w:tc>
          <w:tcPr>
            <w:tcW w:w="2520" w:type="dxa"/>
            <w:shd w:val="clear" w:color="auto" w:fill="F9F9F9"/>
          </w:tcPr>
          <w:p w:rsidR="00A11601" w:rsidRDefault="00CC23C9" w14:paraId="720A37BD" w14:textId="77777777">
            <w:pPr>
              <w:jc w:val="center"/>
            </w:pPr>
            <w:r>
              <w:rPr>
                <w:b/>
                <w:sz w:val="24"/>
              </w:rPr>
              <w:t>3</w:t>
            </w:r>
          </w:p>
        </w:tc>
        <w:tc>
          <w:tcPr>
            <w:tcW w:w="2520" w:type="dxa"/>
            <w:shd w:val="clear" w:color="auto" w:fill="F9F9F9"/>
          </w:tcPr>
          <w:p w:rsidR="00A11601" w:rsidRDefault="00CC23C9" w14:paraId="0D093A16" w14:textId="77777777">
            <w:pPr>
              <w:jc w:val="center"/>
            </w:pPr>
            <w:r>
              <w:rPr>
                <w:b/>
                <w:sz w:val="24"/>
              </w:rPr>
              <w:t>17,949</w:t>
            </w:r>
          </w:p>
        </w:tc>
        <w:tc>
          <w:tcPr>
            <w:tcW w:w="2520" w:type="dxa"/>
            <w:shd w:val="clear" w:color="auto" w:fill="F9F9F9"/>
          </w:tcPr>
          <w:p w:rsidR="00A11601" w:rsidRDefault="00CC23C9" w14:paraId="36060B2D" w14:textId="77777777">
            <w:pPr>
              <w:jc w:val="center"/>
            </w:pPr>
            <w:r>
              <w:rPr>
                <w:b/>
                <w:sz w:val="24"/>
              </w:rPr>
              <w:t>48%</w:t>
            </w:r>
          </w:p>
        </w:tc>
        <w:tc>
          <w:tcPr>
            <w:tcW w:w="2520" w:type="dxa"/>
            <w:shd w:val="clear" w:color="auto" w:fill="F9F9F9"/>
          </w:tcPr>
          <w:p w:rsidR="00A11601" w:rsidRDefault="00CC23C9" w14:paraId="20E78522" w14:textId="77777777">
            <w:pPr>
              <w:jc w:val="center"/>
            </w:pPr>
            <w:r>
              <w:rPr>
                <w:b/>
                <w:sz w:val="24"/>
              </w:rPr>
              <w:t>5</w:t>
            </w:r>
          </w:p>
        </w:tc>
      </w:tr>
    </w:tbl>
    <w:p w:rsidRPr="003D7404" w:rsidR="437338E3" w:rsidP="437338E3" w:rsidRDefault="437338E3" w14:paraId="4C10BAF9" w14:textId="77777777">
      <w:pPr>
        <w:shd w:val="clear" w:color="auto" w:fill="FFFFFF" w:themeFill="background1"/>
        <w:jc w:val="both"/>
        <w:rPr>
          <w:rFonts w:eastAsia="Times New Roman" w:asciiTheme="minorHAnsi" w:hAnsiTheme="minorHAnsi" w:cstheme="minorBidi"/>
          <w:bCs/>
          <w:lang w:eastAsia="en-GB"/>
        </w:rPr>
      </w:pPr>
    </w:p>
    <w:p w:rsidRPr="003D7404" w:rsidR="00DB044A" w:rsidP="00DB044A" w:rsidRDefault="00DB044A" w14:paraId="38E1C6F0"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In parallel with the support provided to local governments, the Programme worked closely with three partner cantons</w:t>
      </w:r>
      <w:r>
        <w:rPr>
          <w:rFonts w:eastAsia="Times New Roman" w:cstheme="minorHAnsi"/>
          <w:bCs/>
        </w:rPr>
        <w:t xml:space="preserve">, </w:t>
      </w:r>
      <w:r>
        <w:rPr>
          <w:rFonts w:eastAsia="Times New Roman" w:asciiTheme="minorHAnsi" w:hAnsiTheme="minorHAnsi" w:cstheme="minorHAnsi"/>
          <w:bCs/>
        </w:rPr>
        <w:t xml:space="preserve">Tuzla Canton, Una-Sana </w:t>
      </w:r>
      <w:proofErr w:type="gramStart"/>
      <w:r>
        <w:rPr>
          <w:rFonts w:eastAsia="Times New Roman" w:asciiTheme="minorHAnsi" w:hAnsiTheme="minorHAnsi" w:cstheme="minorHAnsi"/>
          <w:bCs/>
        </w:rPr>
        <w:t>Canton</w:t>
      </w:r>
      <w:proofErr w:type="gramEnd"/>
      <w:r>
        <w:rPr>
          <w:rFonts w:eastAsia="Times New Roman" w:asciiTheme="minorHAnsi" w:hAnsiTheme="minorHAnsi" w:cstheme="minorHAnsi"/>
          <w:bCs/>
        </w:rPr>
        <w:t xml:space="preserve"> and West Herzegovina Canton</w:t>
      </w:r>
      <w:r>
        <w:rPr>
          <w:rFonts w:eastAsia="Times New Roman" w:cstheme="minorHAnsi"/>
          <w:bCs/>
        </w:rPr>
        <w:t xml:space="preserve">, </w:t>
      </w:r>
      <w:r>
        <w:rPr>
          <w:rFonts w:eastAsia="Times New Roman" w:asciiTheme="minorHAnsi" w:hAnsiTheme="minorHAnsi" w:cstheme="minorHAnsi"/>
          <w:bCs/>
        </w:rPr>
        <w:t>to strengthen their institutional capacities for integrating and operationalizing SDGs within their planning and implementation frameworks.</w:t>
      </w:r>
    </w:p>
    <w:p w:rsidRPr="003D7404" w:rsidR="00DB044A" w:rsidP="00DB044A" w:rsidRDefault="00DB044A" w14:paraId="4899AEEB"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Through targeted technical assistance and on-the-job training, the cantonal governments translated their development strategies into measurable plans and reports reflecting the SDG Framework in BiH. In </w:t>
      </w:r>
      <w:r>
        <w:rPr>
          <w:rFonts w:eastAsia="Times New Roman" w:cstheme="minorHAnsi"/>
          <w:bCs/>
        </w:rPr>
        <w:t>all three cantons</w:t>
      </w:r>
      <w:r>
        <w:rPr>
          <w:rFonts w:eastAsia="Times New Roman" w:asciiTheme="minorHAnsi" w:hAnsiTheme="minorHAnsi" w:cstheme="minorHAnsi"/>
          <w:bCs/>
        </w:rPr>
        <w:t xml:space="preserve"> comprehensive development reports, planning guidelines, and three-year and annual action plans were prepared, creating stronger links between strategic priorities, budgets, and measurable results.</w:t>
      </w:r>
    </w:p>
    <w:p w:rsidRPr="003D7404" w:rsidR="00DB044A" w:rsidP="00DB044A" w:rsidRDefault="00DB044A" w14:paraId="4AD83D05"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Cantonal</w:t>
      </w:r>
      <w:r>
        <w:rPr>
          <w:rFonts w:eastAsia="Times New Roman" w:cstheme="minorHAnsi"/>
          <w:bCs/>
        </w:rPr>
        <w:t xml:space="preserve"> </w:t>
      </w:r>
      <w:r>
        <w:rPr>
          <w:rFonts w:eastAsia="Times New Roman" w:asciiTheme="minorHAnsi" w:hAnsiTheme="minorHAnsi" w:cstheme="minorHAnsi"/>
          <w:bCs/>
        </w:rPr>
        <w:t xml:space="preserve">level regulatory and institutional reforms. In Una-Sana Canton, a By-law on Regulatory Impact Assessment was prepared, introducing tools for evidence-based policymaking. In Tuzla Canton, the Regulatory Framework for Grants was analyzed and revised to enhance transparency, efficiency, and alignment with SDG and EU principles. In West Herzegovina </w:t>
      </w:r>
      <w:r>
        <w:rPr>
          <w:rFonts w:eastAsia="Times New Roman" w:asciiTheme="minorHAnsi" w:hAnsiTheme="minorHAnsi" w:cstheme="minorHAnsi"/>
          <w:bCs/>
        </w:rPr>
        <w:t>Canton, project cycle management trainings for youth and public officials resulted in five project proposals aligned with cantonal and SDG priorities.</w:t>
      </w:r>
    </w:p>
    <w:p w:rsidRPr="003D7404" w:rsidR="00DB044A" w:rsidP="00DB044A" w:rsidRDefault="00DB044A" w14:paraId="64A9C5E0"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Building on this groundwork, each partner canton identified at least one large-scale project contributing to its sustainable development goals. The Programme provided financial and technical support for the preparation of technical documentation, including feasibility studies and conceptual designs, totaling BAM 38</w:t>
      </w:r>
      <w:r>
        <w:rPr>
          <w:rFonts w:eastAsia="Times New Roman" w:cstheme="minorHAnsi"/>
          <w:bCs/>
        </w:rPr>
        <w:t>.</w:t>
      </w:r>
      <w:r>
        <w:rPr>
          <w:rFonts w:eastAsia="Times New Roman" w:asciiTheme="minorHAnsi" w:hAnsiTheme="minorHAnsi" w:cstheme="minorHAnsi"/>
          <w:bCs/>
        </w:rPr>
        <w:t>500</w:t>
      </w:r>
      <w:r>
        <w:rPr>
          <w:rFonts w:eastAsia="Times New Roman" w:cstheme="minorHAnsi"/>
          <w:bCs/>
        </w:rPr>
        <w:t>,00</w:t>
      </w:r>
      <w:r>
        <w:rPr>
          <w:rFonts w:eastAsia="Times New Roman" w:asciiTheme="minorHAnsi" w:hAnsiTheme="minorHAnsi" w:cstheme="minorHAnsi"/>
          <w:bCs/>
        </w:rPr>
        <w:t>. These projects are now investment-ready and demonstrate the cantons’ strengthened capacities to manage multi-sectoral initiatives.</w:t>
      </w:r>
    </w:p>
    <w:p w:rsidRPr="003D7404" w:rsidR="00DB044A" w:rsidP="00DB044A" w:rsidRDefault="00DB044A" w14:paraId="60191324"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The Cantonal Grant Scheme launched under Output 2.2 further demonstrated the partners’ ability to translate SDG commitments into concrete results. Five development projects were implemented across the three partner cantons, with a total value of BAM 843</w:t>
      </w:r>
      <w:r>
        <w:rPr>
          <w:rFonts w:eastAsia="Times New Roman" w:cstheme="minorHAnsi"/>
          <w:bCs/>
        </w:rPr>
        <w:t>.</w:t>
      </w:r>
      <w:r>
        <w:rPr>
          <w:rFonts w:eastAsia="Times New Roman" w:asciiTheme="minorHAnsi" w:hAnsiTheme="minorHAnsi" w:cstheme="minorHAnsi"/>
          <w:bCs/>
        </w:rPr>
        <w:t>900,</w:t>
      </w:r>
      <w:r>
        <w:rPr>
          <w:rFonts w:eastAsia="Times New Roman" w:cstheme="minorHAnsi"/>
          <w:bCs/>
        </w:rPr>
        <w:t>00</w:t>
      </w:r>
      <w:r>
        <w:rPr>
          <w:rFonts w:eastAsia="Times New Roman" w:asciiTheme="minorHAnsi" w:hAnsiTheme="minorHAnsi" w:cstheme="minorHAnsi"/>
          <w:bCs/>
        </w:rPr>
        <w:t xml:space="preserve"> including 48% co-financing from cantonal budgets.</w:t>
      </w:r>
    </w:p>
    <w:p w:rsidRPr="003D7404" w:rsidR="00DB044A" w:rsidP="00DB044A" w:rsidRDefault="00DB044A" w14:paraId="3D003414"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The projects directly benefited 17,949 citizens, improving access to early childhood education, rehabilitation, and social protection services, while also fostering more transparent and efficient governance. Among the notable achievements are:</w:t>
      </w:r>
    </w:p>
    <w:p w:rsidRPr="003D7404" w:rsidR="00DB044A" w:rsidP="00DB044A" w:rsidRDefault="00DB044A" w14:paraId="4BDAC19A" w14:textId="77777777">
      <w:pPr>
        <w:numPr>
          <w:ilvl w:val="0"/>
          <w:numId w:val="42"/>
        </w:num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Establishment of the first public kindergarten in Sapna, creating employment for </w:t>
      </w:r>
      <w:r>
        <w:rPr>
          <w:rFonts w:eastAsia="Times New Roman" w:cstheme="minorHAnsi"/>
          <w:bCs/>
        </w:rPr>
        <w:t xml:space="preserve">six </w:t>
      </w:r>
      <w:r>
        <w:rPr>
          <w:rFonts w:eastAsia="Times New Roman" w:asciiTheme="minorHAnsi" w:hAnsiTheme="minorHAnsi" w:cstheme="minorHAnsi"/>
          <w:bCs/>
        </w:rPr>
        <w:t xml:space="preserve">new staff and providing equal access to preschool </w:t>
      </w:r>
      <w:proofErr w:type="gramStart"/>
      <w:r>
        <w:rPr>
          <w:rFonts w:eastAsia="Times New Roman" w:asciiTheme="minorHAnsi" w:hAnsiTheme="minorHAnsi" w:cstheme="minorHAnsi"/>
          <w:bCs/>
        </w:rPr>
        <w:t>education;</w:t>
      </w:r>
      <w:proofErr w:type="gramEnd"/>
    </w:p>
    <w:p w:rsidRPr="003D7404" w:rsidR="00DB044A" w:rsidP="00DB044A" w:rsidRDefault="00DB044A" w14:paraId="2241FEB9" w14:textId="77777777">
      <w:pPr>
        <w:numPr>
          <w:ilvl w:val="0"/>
          <w:numId w:val="42"/>
        </w:num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Opening of a Kinesitherapy Department within the </w:t>
      </w:r>
      <w:proofErr w:type="spellStart"/>
      <w:r>
        <w:rPr>
          <w:rFonts w:eastAsia="Times New Roman" w:asciiTheme="minorHAnsi" w:hAnsiTheme="minorHAnsi" w:cstheme="minorHAnsi"/>
          <w:bCs/>
        </w:rPr>
        <w:t>Gata</w:t>
      </w:r>
      <w:proofErr w:type="spellEnd"/>
      <w:r>
        <w:rPr>
          <w:rFonts w:eastAsia="Times New Roman" w:asciiTheme="minorHAnsi" w:hAnsiTheme="minorHAnsi" w:cstheme="minorHAnsi"/>
          <w:bCs/>
        </w:rPr>
        <w:t xml:space="preserve"> Spa Health Center in Una-Sana Canton and a Day Care Center </w:t>
      </w:r>
      <w:r>
        <w:rPr>
          <w:rFonts w:eastAsia="Times New Roman" w:cstheme="minorHAnsi"/>
          <w:bCs/>
        </w:rPr>
        <w:t>in the Centre for</w:t>
      </w:r>
      <w:r>
        <w:rPr>
          <w:rFonts w:eastAsia="Times New Roman" w:asciiTheme="minorHAnsi" w:hAnsiTheme="minorHAnsi" w:cstheme="minorHAnsi"/>
          <w:bCs/>
        </w:rPr>
        <w:t xml:space="preserve"> children without parental care in </w:t>
      </w:r>
      <w:proofErr w:type="gramStart"/>
      <w:r>
        <w:rPr>
          <w:rFonts w:eastAsia="Times New Roman" w:asciiTheme="minorHAnsi" w:hAnsiTheme="minorHAnsi" w:cstheme="minorHAnsi"/>
          <w:bCs/>
        </w:rPr>
        <w:t>Tuzla;</w:t>
      </w:r>
      <w:proofErr w:type="gramEnd"/>
    </w:p>
    <w:p w:rsidRPr="003D7404" w:rsidR="00DB044A" w:rsidP="00DB044A" w:rsidRDefault="00DB044A" w14:paraId="58D5C783" w14:textId="77777777">
      <w:pPr>
        <w:numPr>
          <w:ilvl w:val="0"/>
          <w:numId w:val="42"/>
        </w:num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Introduction of a digital decision-support system in the Tuzla Canton Ministry of Economy, enabling real-time management of business incentive </w:t>
      </w:r>
      <w:proofErr w:type="gramStart"/>
      <w:r>
        <w:rPr>
          <w:rFonts w:eastAsia="Times New Roman" w:asciiTheme="minorHAnsi" w:hAnsiTheme="minorHAnsi" w:cstheme="minorHAnsi"/>
          <w:bCs/>
        </w:rPr>
        <w:t>allocation;</w:t>
      </w:r>
      <w:proofErr w:type="gramEnd"/>
    </w:p>
    <w:p w:rsidRPr="003D7404" w:rsidR="00DB044A" w:rsidP="00DB044A" w:rsidRDefault="00DB044A" w14:paraId="1C53D14C" w14:textId="77777777">
      <w:pPr>
        <w:numPr>
          <w:ilvl w:val="0"/>
          <w:numId w:val="42"/>
        </w:numPr>
        <w:spacing w:before="120"/>
        <w:jc w:val="both"/>
        <w:rPr>
          <w:rFonts w:eastAsia="Times New Roman" w:asciiTheme="minorHAnsi" w:hAnsiTheme="minorHAnsi" w:cstheme="minorHAnsi"/>
          <w:bCs/>
        </w:rPr>
      </w:pPr>
      <w:r>
        <w:rPr>
          <w:rFonts w:eastAsia="Times New Roman" w:asciiTheme="minorHAnsi" w:hAnsiTheme="minorHAnsi" w:cstheme="minorHAnsi"/>
          <w:bCs/>
        </w:rPr>
        <w:t>Reform of secondary vocational education in West Herzegovina Canton, including amendments to the Law on Secondary Vocational Education and equipping of four schools to better align education with labor market needs.</w:t>
      </w:r>
    </w:p>
    <w:p w:rsidRPr="003D7404" w:rsidR="00DB044A" w:rsidP="00DB044A" w:rsidRDefault="00DB044A" w14:paraId="569108E1"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Through these interventions, the Programme significantly improved public service quality, strengthened accountability and transparency in public administration, and enhanced cooperation between the public and private sectors.</w:t>
      </w:r>
    </w:p>
    <w:p w:rsidRPr="003D7404" w:rsidR="00DB044A" w:rsidP="00DB044A" w:rsidRDefault="00DB044A" w14:paraId="150E8964" w14:textId="77777777">
      <w:pPr>
        <w:spacing w:before="120"/>
        <w:rPr>
          <w:bCs/>
        </w:rPr>
      </w:pPr>
      <w:r>
        <w:rPr>
          <w:bCs/>
        </w:rPr>
        <w:t>Overall assessment</w:t>
      </w:r>
    </w:p>
    <w:p w:rsidRPr="003D7404" w:rsidR="00DB044A" w:rsidP="00DB044A" w:rsidRDefault="00DB044A" w14:paraId="69B97926" w14:textId="77777777">
      <w:pPr>
        <w:spacing w:before="120"/>
        <w:jc w:val="both"/>
        <w:rPr>
          <w:rFonts w:eastAsia="Times New Roman" w:asciiTheme="minorHAnsi" w:hAnsiTheme="minorHAnsi" w:cstheme="minorHAnsi"/>
          <w:bCs/>
        </w:rPr>
      </w:pPr>
      <w:r>
        <w:rPr>
          <w:rFonts w:eastAsia="Times New Roman" w:asciiTheme="minorHAnsi" w:hAnsiTheme="minorHAnsi" w:cstheme="minorHAnsi"/>
          <w:bCs/>
        </w:rPr>
        <w:t xml:space="preserve">The </w:t>
      </w:r>
      <w:proofErr w:type="spellStart"/>
      <w:r>
        <w:rPr>
          <w:rFonts w:eastAsia="Times New Roman" w:asciiTheme="minorHAnsi" w:hAnsiTheme="minorHAnsi" w:cstheme="minorHAnsi"/>
          <w:bCs/>
        </w:rPr>
        <w:t>Programme’s</w:t>
      </w:r>
      <w:proofErr w:type="spellEnd"/>
      <w:r>
        <w:rPr>
          <w:rFonts w:eastAsia="Times New Roman" w:asciiTheme="minorHAnsi" w:hAnsiTheme="minorHAnsi" w:cstheme="minorHAnsi"/>
          <w:bCs/>
        </w:rPr>
        <w:t xml:space="preserve"> support under Outcome 2 has produced visible, sustainable results across partner local governments and cantons. It has strengthened institutional capacities for SDG implementation, created tangible improvements in public services and infrastructure, and fostered inclusive governance that ensures no one is left behind.</w:t>
      </w:r>
    </w:p>
    <w:p w:rsidRPr="003D7404" w:rsidR="00DB044A" w:rsidP="00DB044A" w:rsidRDefault="00DB044A" w14:paraId="0B698D03" w14:textId="77777777">
      <w:pPr>
        <w:spacing w:before="120"/>
        <w:jc w:val="both"/>
        <w:rPr>
          <w:rFonts w:eastAsia="Times New Roman" w:cstheme="minorHAnsi"/>
          <w:bCs/>
        </w:rPr>
      </w:pPr>
      <w:r>
        <w:rPr>
          <w:rFonts w:eastAsia="Times New Roman" w:asciiTheme="minorHAnsi" w:hAnsiTheme="minorHAnsi" w:cstheme="minorHAnsi"/>
          <w:bCs/>
        </w:rPr>
        <w:t>Through the development of SDG-aligned strategies, preparation of investment-ready projects, introduction of innovative social services, and establishment of coordination mechanisms that bridge sectors and communities, the Programme has laid a strong foundation for continued progress toward sustainable development.</w:t>
      </w:r>
    </w:p>
    <w:p w:rsidRPr="003D7404" w:rsidR="00DB044A" w:rsidP="00DB044A" w:rsidRDefault="00DB044A" w14:paraId="6B535646" w14:textId="77777777">
      <w:pPr>
        <w:jc w:val="both"/>
        <w:rPr>
          <w:rFonts w:eastAsia="Times New Roman" w:cstheme="minorHAnsi"/>
          <w:bCs/>
        </w:rPr>
      </w:pPr>
    </w:p>
    <w:tbl>
      <w:tblPr>
        <w:tblStyle w:val="GridTable2-Accent5"/>
        <w:tblW w:w="0" w:type="auto"/>
        <w:jc w:val="center"/>
        <w:tblLook w:val="04A0" w:firstRow="1" w:lastRow="0" w:firstColumn="1" w:lastColumn="0" w:noHBand="0" w:noVBand="1"/>
      </w:tblPr>
      <w:tblGrid>
        <w:gridCol w:w="4829"/>
        <w:gridCol w:w="2860"/>
      </w:tblGrid>
      <w:tr w:rsidRPr="003D7404" w:rsidR="000F10E5" w14:paraId="0909481C"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hideMark/>
          </w:tcPr>
          <w:p w:rsidRPr="003D7404" w:rsidR="00DB044A" w:rsidRDefault="00DB044A" w14:paraId="77219F62" w14:textId="77777777">
            <w:pPr>
              <w:spacing w:before="60" w:after="60"/>
              <w:jc w:val="center"/>
              <w:rPr>
                <w:b w:val="0"/>
              </w:rPr>
            </w:pPr>
            <w:r>
              <w:rPr>
                <w:rStyle w:val="Strong"/>
                <w:bCs/>
              </w:rPr>
              <w:t>Indicator</w:t>
            </w:r>
          </w:p>
        </w:tc>
        <w:tc>
          <w:tcPr>
            <w:tcW w:w="0" w:type="auto"/>
            <w:shd w:val="clear" w:color="auto" w:fill="F2F2F2"/>
            <w:hideMark/>
          </w:tcPr>
          <w:p w:rsidRPr="003D7404" w:rsidR="00DB044A" w:rsidRDefault="00DB044A" w14:paraId="5FEC586D" w14:textId="77777777">
            <w:pPr>
              <w:spacing w:before="60" w:after="60"/>
              <w:jc w:val="center"/>
              <w:cnfStyle w:val="100000000000" w:firstRow="1" w:lastRow="0" w:firstColumn="0" w:lastColumn="0" w:oddVBand="0" w:evenVBand="0" w:oddHBand="0" w:evenHBand="0" w:firstRowFirstColumn="0" w:firstRowLastColumn="0" w:lastRowFirstColumn="0" w:lastRowLastColumn="0"/>
              <w:rPr>
                <w:b w:val="0"/>
              </w:rPr>
            </w:pPr>
            <w:r>
              <w:rPr>
                <w:rStyle w:val="Strong"/>
                <w:bCs/>
              </w:rPr>
              <w:t>Achievement (2022–2025)</w:t>
            </w:r>
          </w:p>
        </w:tc>
      </w:tr>
      <w:tr w:rsidRPr="003D7404" w:rsidR="000F10E5" w14:paraId="0973193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44200CF9" w14:textId="77777777">
            <w:pPr>
              <w:spacing w:before="60" w:after="60"/>
              <w:rPr>
                <w:b w:val="0"/>
              </w:rPr>
            </w:pPr>
            <w:r>
              <w:rPr>
                <w:b w:val="0"/>
                <w:sz w:val="20"/>
              </w:rPr>
              <w:t>Partner institutions supported</w:t>
            </w:r>
          </w:p>
        </w:tc>
        <w:tc>
          <w:tcPr>
            <w:tcW w:w="0" w:type="auto"/>
            <w:vAlign w:val="center"/>
            <w:hideMark/>
          </w:tcPr>
          <w:p w:rsidRPr="003D7404" w:rsidR="00DB044A" w:rsidRDefault="00DB044A" w14:paraId="1C9E8C25" w14:textId="77777777">
            <w:pPr>
              <w:spacing w:before="60" w:after="60"/>
              <w:jc w:val="center"/>
              <w:cnfStyle w:val="000000100000" w:firstRow="0" w:lastRow="0" w:firstColumn="0" w:lastColumn="0" w:oddVBand="0" w:evenVBand="0" w:oddHBand="1" w:evenHBand="0" w:firstRowFirstColumn="0" w:firstRowLastColumn="0" w:lastRowFirstColumn="0" w:lastRowLastColumn="0"/>
              <w:rPr>
                <w:bCs/>
              </w:rPr>
            </w:pPr>
            <w:r>
              <w:rPr>
                <w:bCs/>
                <w:sz w:val="20"/>
              </w:rPr>
              <w:t>8 local governments + 3 Cantons</w:t>
            </w:r>
          </w:p>
        </w:tc>
      </w:tr>
      <w:tr w:rsidRPr="003D7404" w:rsidR="00776E20" w14:paraId="5A4A2586"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1F9A5E05" w14:textId="77777777">
            <w:pPr>
              <w:spacing w:before="60" w:after="60"/>
              <w:rPr>
                <w:b w:val="0"/>
              </w:rPr>
            </w:pPr>
            <w:r>
              <w:rPr>
                <w:b w:val="0"/>
                <w:sz w:val="20"/>
              </w:rPr>
              <w:t>Strategic documents aligned with SDGs</w:t>
            </w:r>
          </w:p>
        </w:tc>
        <w:tc>
          <w:tcPr>
            <w:tcW w:w="0" w:type="auto"/>
            <w:vAlign w:val="center"/>
            <w:hideMark/>
          </w:tcPr>
          <w:p w:rsidRPr="003D7404" w:rsidR="00DB044A" w:rsidRDefault="00DB044A" w14:paraId="0015AAE8" w14:textId="77777777">
            <w:pPr>
              <w:spacing w:before="60" w:after="60"/>
              <w:jc w:val="center"/>
              <w:cnfStyle w:val="000000000000" w:firstRow="0" w:lastRow="0" w:firstColumn="0" w:lastColumn="0" w:oddVBand="0" w:evenVBand="0" w:oddHBand="0" w:evenHBand="0" w:firstRowFirstColumn="0" w:firstRowLastColumn="0" w:lastRowFirstColumn="0" w:lastRowLastColumn="0"/>
              <w:rPr>
                <w:bCs/>
              </w:rPr>
            </w:pPr>
            <w:r>
              <w:rPr>
                <w:bCs/>
                <w:sz w:val="20"/>
              </w:rPr>
              <w:t>11</w:t>
            </w:r>
          </w:p>
        </w:tc>
      </w:tr>
      <w:tr w:rsidRPr="003D7404" w:rsidR="000F10E5" w14:paraId="51347E1B"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698E7C11" w14:textId="77777777">
            <w:pPr>
              <w:spacing w:before="60" w:after="60"/>
              <w:rPr>
                <w:b w:val="0"/>
              </w:rPr>
            </w:pPr>
            <w:r>
              <w:rPr>
                <w:b w:val="0"/>
                <w:sz w:val="20"/>
              </w:rPr>
              <w:t>Large-scale infrastructure projects prepared</w:t>
            </w:r>
          </w:p>
        </w:tc>
        <w:tc>
          <w:tcPr>
            <w:tcW w:w="0" w:type="auto"/>
            <w:vAlign w:val="center"/>
            <w:hideMark/>
          </w:tcPr>
          <w:p w:rsidRPr="003D7404" w:rsidR="00DB044A" w:rsidRDefault="00DB044A" w14:paraId="1A3A7F5B" w14:textId="77777777">
            <w:pPr>
              <w:spacing w:before="60" w:after="60"/>
              <w:jc w:val="center"/>
              <w:cnfStyle w:val="000000100000" w:firstRow="0" w:lastRow="0" w:firstColumn="0" w:lastColumn="0" w:oddVBand="0" w:evenVBand="0" w:oddHBand="1" w:evenHBand="0" w:firstRowFirstColumn="0" w:firstRowLastColumn="0" w:lastRowFirstColumn="0" w:lastRowLastColumn="0"/>
              <w:rPr>
                <w:bCs/>
              </w:rPr>
            </w:pPr>
            <w:r>
              <w:rPr>
                <w:bCs/>
                <w:sz w:val="20"/>
              </w:rPr>
              <w:t>11</w:t>
            </w:r>
          </w:p>
        </w:tc>
      </w:tr>
      <w:tr w:rsidRPr="003D7404" w:rsidR="00776E20" w14:paraId="4C40BFA5"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65D6A68D" w14:textId="77777777">
            <w:pPr>
              <w:spacing w:before="60" w:after="60"/>
              <w:rPr>
                <w:b w:val="0"/>
              </w:rPr>
            </w:pPr>
            <w:r>
              <w:rPr>
                <w:b w:val="0"/>
                <w:sz w:val="20"/>
              </w:rPr>
              <w:t>Grant-funded projects implemented</w:t>
            </w:r>
          </w:p>
        </w:tc>
        <w:tc>
          <w:tcPr>
            <w:tcW w:w="0" w:type="auto"/>
            <w:vAlign w:val="center"/>
            <w:hideMark/>
          </w:tcPr>
          <w:p w:rsidRPr="003D7404" w:rsidR="00DB044A" w:rsidRDefault="00DB044A" w14:paraId="76C059C5" w14:textId="77777777">
            <w:pPr>
              <w:spacing w:before="60" w:after="60"/>
              <w:jc w:val="center"/>
              <w:cnfStyle w:val="000000000000" w:firstRow="0" w:lastRow="0" w:firstColumn="0" w:lastColumn="0" w:oddVBand="0" w:evenVBand="0" w:oddHBand="0" w:evenHBand="0" w:firstRowFirstColumn="0" w:firstRowLastColumn="0" w:lastRowFirstColumn="0" w:lastRowLastColumn="0"/>
              <w:rPr>
                <w:bCs/>
              </w:rPr>
            </w:pPr>
            <w:r>
              <w:rPr>
                <w:bCs/>
                <w:sz w:val="20"/>
              </w:rPr>
              <w:t>14 (9 LG + 5 Cantonal)</w:t>
            </w:r>
          </w:p>
        </w:tc>
      </w:tr>
      <w:tr w:rsidRPr="003D7404" w:rsidR="000F10E5" w14:paraId="4F1769F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6B04F820" w14:textId="77777777">
            <w:pPr>
              <w:spacing w:before="60" w:after="60"/>
              <w:rPr>
                <w:b w:val="0"/>
              </w:rPr>
            </w:pPr>
            <w:r>
              <w:rPr>
                <w:b w:val="0"/>
                <w:sz w:val="20"/>
              </w:rPr>
              <w:t>Total value of grants implemented</w:t>
            </w:r>
          </w:p>
        </w:tc>
        <w:tc>
          <w:tcPr>
            <w:tcW w:w="0" w:type="auto"/>
            <w:vAlign w:val="center"/>
            <w:hideMark/>
          </w:tcPr>
          <w:p w:rsidRPr="003D7404" w:rsidR="00DB044A" w:rsidRDefault="00DB044A" w14:paraId="38AFE600" w14:textId="77777777">
            <w:pPr>
              <w:spacing w:before="60" w:after="60"/>
              <w:jc w:val="center"/>
              <w:cnfStyle w:val="000000100000" w:firstRow="0" w:lastRow="0" w:firstColumn="0" w:lastColumn="0" w:oddVBand="0" w:evenVBand="0" w:oddHBand="1" w:evenHBand="0" w:firstRowFirstColumn="0" w:firstRowLastColumn="0" w:lastRowFirstColumn="0" w:lastRowLastColumn="0"/>
              <w:rPr>
                <w:bCs/>
              </w:rPr>
            </w:pPr>
            <w:r>
              <w:rPr>
                <w:bCs/>
                <w:sz w:val="20"/>
              </w:rPr>
              <w:t>BAM 2,156,188</w:t>
            </w:r>
          </w:p>
        </w:tc>
      </w:tr>
      <w:tr w:rsidRPr="003D7404" w:rsidR="00776E20" w14:paraId="3150007A"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5047F128" w14:textId="77777777">
            <w:pPr>
              <w:spacing w:before="60" w:after="60"/>
              <w:rPr>
                <w:b w:val="0"/>
              </w:rPr>
            </w:pPr>
            <w:r>
              <w:rPr>
                <w:b w:val="0"/>
                <w:sz w:val="20"/>
              </w:rPr>
              <w:t>Average co-financing by partners</w:t>
            </w:r>
          </w:p>
        </w:tc>
        <w:tc>
          <w:tcPr>
            <w:tcW w:w="0" w:type="auto"/>
            <w:vAlign w:val="center"/>
            <w:hideMark/>
          </w:tcPr>
          <w:p w:rsidRPr="003D7404" w:rsidR="00DB044A" w:rsidRDefault="00DB044A" w14:paraId="72FB649E" w14:textId="77777777">
            <w:pPr>
              <w:spacing w:before="60" w:after="60"/>
              <w:jc w:val="center"/>
              <w:cnfStyle w:val="000000000000" w:firstRow="0" w:lastRow="0" w:firstColumn="0" w:lastColumn="0" w:oddVBand="0" w:evenVBand="0" w:oddHBand="0" w:evenHBand="0" w:firstRowFirstColumn="0" w:firstRowLastColumn="0" w:lastRowFirstColumn="0" w:lastRowLastColumn="0"/>
              <w:rPr>
                <w:bCs/>
              </w:rPr>
            </w:pPr>
            <w:r>
              <w:rPr>
                <w:bCs/>
                <w:sz w:val="20"/>
              </w:rPr>
              <w:t>35%</w:t>
            </w:r>
          </w:p>
        </w:tc>
      </w:tr>
      <w:tr w:rsidRPr="003D7404" w:rsidR="000F10E5" w14:paraId="2672E091"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652F248E" w14:textId="77777777">
            <w:pPr>
              <w:spacing w:before="60" w:after="60"/>
              <w:rPr>
                <w:b w:val="0"/>
              </w:rPr>
            </w:pPr>
            <w:r>
              <w:rPr>
                <w:b w:val="0"/>
                <w:sz w:val="20"/>
              </w:rPr>
              <w:t xml:space="preserve"># </w:t>
            </w:r>
            <w:proofErr w:type="gramStart"/>
            <w:r>
              <w:rPr>
                <w:b w:val="0"/>
                <w:sz w:val="20"/>
              </w:rPr>
              <w:t>beneficiaries</w:t>
            </w:r>
            <w:proofErr w:type="gramEnd"/>
            <w:r>
              <w:rPr>
                <w:b w:val="0"/>
                <w:sz w:val="20"/>
              </w:rPr>
              <w:t xml:space="preserve"> (% women)</w:t>
            </w:r>
          </w:p>
        </w:tc>
        <w:tc>
          <w:tcPr>
            <w:tcW w:w="0" w:type="auto"/>
            <w:vAlign w:val="center"/>
            <w:hideMark/>
          </w:tcPr>
          <w:p w:rsidRPr="003D7404" w:rsidR="00DB044A" w:rsidRDefault="00DB044A" w14:paraId="5C9A4C6D" w14:textId="77777777">
            <w:pPr>
              <w:spacing w:before="60" w:after="60"/>
              <w:jc w:val="center"/>
              <w:cnfStyle w:val="000000100000" w:firstRow="0" w:lastRow="0" w:firstColumn="0" w:lastColumn="0" w:oddVBand="0" w:evenVBand="0" w:oddHBand="1" w:evenHBand="0" w:firstRowFirstColumn="0" w:firstRowLastColumn="0" w:lastRowFirstColumn="0" w:lastRowLastColumn="0"/>
              <w:rPr>
                <w:bCs/>
              </w:rPr>
            </w:pPr>
            <w:r>
              <w:rPr>
                <w:bCs/>
                <w:sz w:val="20"/>
              </w:rPr>
              <w:t>43,772 (47%)</w:t>
            </w:r>
          </w:p>
        </w:tc>
      </w:tr>
      <w:tr w:rsidRPr="003D7404" w:rsidR="00776E20" w14:paraId="54BB0DF8"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201DF4E4" w14:textId="77777777">
            <w:pPr>
              <w:spacing w:before="60" w:after="60"/>
              <w:rPr>
                <w:b w:val="0"/>
              </w:rPr>
            </w:pPr>
            <w:r>
              <w:rPr>
                <w:b w:val="0"/>
                <w:sz w:val="20"/>
              </w:rPr>
              <w:t>New/Improved public services introduced</w:t>
            </w:r>
          </w:p>
        </w:tc>
        <w:tc>
          <w:tcPr>
            <w:tcW w:w="0" w:type="auto"/>
            <w:vAlign w:val="center"/>
            <w:hideMark/>
          </w:tcPr>
          <w:p w:rsidRPr="003D7404" w:rsidR="00DB044A" w:rsidRDefault="00DB044A" w14:paraId="38489CFB" w14:textId="77777777">
            <w:pPr>
              <w:spacing w:before="60" w:after="60"/>
              <w:jc w:val="center"/>
              <w:cnfStyle w:val="000000000000" w:firstRow="0" w:lastRow="0" w:firstColumn="0" w:lastColumn="0" w:oddVBand="0" w:evenVBand="0" w:oddHBand="0" w:evenHBand="0" w:firstRowFirstColumn="0" w:firstRowLastColumn="0" w:lastRowFirstColumn="0" w:lastRowLastColumn="0"/>
              <w:rPr>
                <w:bCs/>
              </w:rPr>
            </w:pPr>
            <w:r>
              <w:rPr>
                <w:bCs/>
                <w:sz w:val="20"/>
              </w:rPr>
              <w:t>13</w:t>
            </w:r>
          </w:p>
        </w:tc>
      </w:tr>
      <w:tr w:rsidRPr="003D7404" w:rsidR="000F10E5" w14:paraId="385F91BE"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2713B332" w14:textId="77777777">
            <w:pPr>
              <w:spacing w:before="60" w:after="60"/>
              <w:rPr>
                <w:b w:val="0"/>
              </w:rPr>
            </w:pPr>
            <w:r>
              <w:rPr>
                <w:b w:val="0"/>
                <w:sz w:val="20"/>
              </w:rPr>
              <w:t>Local SPI Commissions / multisectoral bodies established</w:t>
            </w:r>
          </w:p>
        </w:tc>
        <w:tc>
          <w:tcPr>
            <w:tcW w:w="0" w:type="auto"/>
            <w:vAlign w:val="center"/>
            <w:hideMark/>
          </w:tcPr>
          <w:p w:rsidRPr="003D7404" w:rsidR="00DB044A" w:rsidRDefault="00DB044A" w14:paraId="39CE3F4F" w14:textId="77777777">
            <w:pPr>
              <w:spacing w:before="60" w:after="60"/>
              <w:jc w:val="center"/>
              <w:cnfStyle w:val="000000100000" w:firstRow="0" w:lastRow="0" w:firstColumn="0" w:lastColumn="0" w:oddVBand="0" w:evenVBand="0" w:oddHBand="1" w:evenHBand="0" w:firstRowFirstColumn="0" w:firstRowLastColumn="0" w:lastRowFirstColumn="0" w:lastRowLastColumn="0"/>
              <w:rPr>
                <w:bCs/>
              </w:rPr>
            </w:pPr>
            <w:r>
              <w:rPr>
                <w:bCs/>
                <w:sz w:val="20"/>
              </w:rPr>
              <w:t>8</w:t>
            </w:r>
          </w:p>
        </w:tc>
      </w:tr>
      <w:tr w:rsidRPr="003D7404" w:rsidR="00776E20" w14:paraId="5EE5686D" w14:textId="7777777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Pr="003D7404" w:rsidR="00DB044A" w:rsidRDefault="00DB044A" w14:paraId="4566E9E9" w14:textId="77777777">
            <w:pPr>
              <w:spacing w:before="60" w:after="60"/>
              <w:rPr>
                <w:b w:val="0"/>
              </w:rPr>
            </w:pPr>
            <w:r>
              <w:rPr>
                <w:b w:val="0"/>
                <w:sz w:val="20"/>
              </w:rPr>
              <w:t>Professionals trained</w:t>
            </w:r>
          </w:p>
        </w:tc>
        <w:tc>
          <w:tcPr>
            <w:tcW w:w="0" w:type="auto"/>
            <w:vAlign w:val="center"/>
            <w:hideMark/>
          </w:tcPr>
          <w:p w:rsidRPr="003D7404" w:rsidR="00DB044A" w:rsidRDefault="00DB044A" w14:paraId="182858DA" w14:textId="77777777">
            <w:pPr>
              <w:spacing w:before="60" w:after="60"/>
              <w:jc w:val="center"/>
              <w:cnfStyle w:val="000000000000" w:firstRow="0" w:lastRow="0" w:firstColumn="0" w:lastColumn="0" w:oddVBand="0" w:evenVBand="0" w:oddHBand="0" w:evenHBand="0" w:firstRowFirstColumn="0" w:firstRowLastColumn="0" w:lastRowFirstColumn="0" w:lastRowLastColumn="0"/>
              <w:rPr>
                <w:bCs/>
              </w:rPr>
            </w:pPr>
            <w:r>
              <w:rPr>
                <w:bCs/>
                <w:sz w:val="20"/>
              </w:rPr>
              <w:t>400+</w:t>
            </w:r>
          </w:p>
        </w:tc>
      </w:tr>
    </w:tbl>
    <w:p w:rsidRPr="003E710B" w:rsidR="00973E85" w:rsidP="0035648C" w:rsidRDefault="00973E85" w14:paraId="21E41782" w14:textId="77777777">
      <w:pPr>
        <w:pStyle w:val="Heading1"/>
        <w:pBdr>
          <w:bottom w:val="single" w:color="0468B1" w:sz="6" w:space="1"/>
        </w:pBdr>
        <w:rPr>
          <w:rFonts w:asciiTheme="minorHAnsi" w:hAnsiTheme="minorHAnsi" w:cstheme="minorHAnsi"/>
          <w:b/>
          <w:color w:val="auto"/>
          <w:sz w:val="24"/>
          <w:szCs w:val="24"/>
        </w:rPr>
      </w:pPr>
      <w:bookmarkStart w:name="_Toc15393236" w:id="35"/>
      <w:bookmarkStart w:name="_Toc15393289" w:id="36"/>
      <w:bookmarkStart w:name="_Toc221887268" w:id="37"/>
      <w:bookmarkEnd w:id="35"/>
      <w:bookmarkEnd w:id="36"/>
      <w:r>
        <w:rPr>
          <w:rFonts w:asciiTheme="minorHAnsi" w:hAnsiTheme="minorHAnsi" w:cstheme="minorHAnsi"/>
          <w:b/>
          <w:color w:val="0468B1"/>
          <w:szCs w:val="24"/>
        </w:rPr>
        <w:t>Overall Management</w:t>
      </w:r>
      <w:bookmarkEnd w:id="37"/>
    </w:p>
    <w:p w:rsidRPr="003D7404" w:rsidR="00C47942" w:rsidP="00973E85" w:rsidRDefault="00C47942" w14:paraId="46669E02" w14:textId="77777777">
      <w:pPr>
        <w:rPr>
          <w:rFonts w:asciiTheme="minorHAnsi" w:hAnsiTheme="minorHAnsi" w:cstheme="minorHAnsi"/>
          <w:bCs/>
        </w:rPr>
      </w:pPr>
    </w:p>
    <w:p w:rsidRPr="003D7404" w:rsidR="2978FE38" w:rsidP="003E710B" w:rsidRDefault="2978FE38" w14:paraId="69C88D03" w14:textId="77777777">
      <w:pPr>
        <w:spacing w:before="120"/>
        <w:jc w:val="both"/>
        <w:rPr>
          <w:rFonts w:asciiTheme="minorHAnsi" w:hAnsiTheme="minorHAnsi" w:cstheme="minorBidi"/>
          <w:bCs/>
        </w:rPr>
      </w:pPr>
      <w:r>
        <w:rPr>
          <w:rFonts w:asciiTheme="minorHAnsi" w:hAnsiTheme="minorHAnsi" w:cstheme="minorBidi"/>
          <w:bCs/>
        </w:rPr>
        <w:t xml:space="preserve">“Translating the SDG Framework in BiH in </w:t>
      </w:r>
      <w:r>
        <w:rPr>
          <w:rFonts w:asciiTheme="minorHAnsi" w:hAnsiTheme="minorHAnsi" w:eastAsiaTheme="minorEastAsia" w:cstheme="minorBidi"/>
          <w:bCs/>
        </w:rPr>
        <w:t xml:space="preserve">BiH into </w:t>
      </w:r>
      <w:r>
        <w:rPr>
          <w:rFonts w:asciiTheme="minorHAnsi" w:hAnsiTheme="minorHAnsi" w:cstheme="minorBidi"/>
          <w:bCs/>
        </w:rPr>
        <w:t xml:space="preserve">sustainable and inclusive growth (SDG2BiH)” was an initiative funded by Sweden and implemented by UNDP in partnership with UNICEF and UN Women, under the UN’s overall support extended to the authorities in BiH to implement the SDG Framework in BiH. IOM joined the Programme in August 2025 with its activities in domain of advancing private sector engagement in sustainable development and enabling environment for transition to circular economy. </w:t>
      </w:r>
    </w:p>
    <w:p w:rsidRPr="003D7404" w:rsidR="2978FE38" w:rsidP="003E710B" w:rsidRDefault="2978FE38" w14:paraId="4DD6A792" w14:textId="77777777">
      <w:pPr>
        <w:spacing w:before="120"/>
        <w:jc w:val="both"/>
        <w:rPr>
          <w:bCs/>
        </w:rPr>
      </w:pPr>
      <w:r>
        <w:rPr>
          <w:rFonts w:asciiTheme="minorHAnsi" w:hAnsiTheme="minorHAnsi" w:cstheme="minorBidi"/>
          <w:bCs/>
        </w:rPr>
        <w:t>Upon signing of the contract, UNDP assumed full responsibility and accountability for the overall management of the Programme including achievement of the outputs and the outcomes, the efficient and effective use of resources, as well as implementation monitoring. UN Women, UNICEF and IOM are kept responsible for implementation of specific activities, considering the mandate and specific know-how that these agencies possess.</w:t>
      </w:r>
    </w:p>
    <w:p w:rsidRPr="003D7404" w:rsidR="2978FE38" w:rsidP="003E710B" w:rsidRDefault="2978FE38" w14:paraId="3EE77311" w14:textId="77777777">
      <w:pPr>
        <w:spacing w:before="120"/>
        <w:jc w:val="both"/>
        <w:rPr>
          <w:rFonts w:asciiTheme="minorHAnsi" w:hAnsiTheme="minorHAnsi" w:cstheme="minorBidi"/>
          <w:bCs/>
        </w:rPr>
      </w:pPr>
      <w:r>
        <w:rPr>
          <w:rFonts w:asciiTheme="minorHAnsi" w:hAnsiTheme="minorHAnsi" w:cstheme="minorBidi"/>
          <w:bCs/>
        </w:rPr>
        <w:t xml:space="preserve">SDG2BiH operated with a Programme Board comprising representatives from the Ministry of Foreign Affairs of BiH, the Office of the Prime Minister of the FBiH, the Ministry for European Integrations and International Cooperation of RS, the Government of BD BiH (all members of the SDG Council in BiH), and UN agencies, namely UNDP, UNICEF, UN </w:t>
      </w:r>
      <w:proofErr w:type="gramStart"/>
      <w:r>
        <w:rPr>
          <w:rFonts w:asciiTheme="minorHAnsi" w:hAnsiTheme="minorHAnsi" w:cstheme="minorBidi"/>
          <w:bCs/>
        </w:rPr>
        <w:t>Women</w:t>
      </w:r>
      <w:proofErr w:type="gramEnd"/>
      <w:r>
        <w:rPr>
          <w:rFonts w:asciiTheme="minorHAnsi" w:hAnsiTheme="minorHAnsi" w:cstheme="minorBidi"/>
          <w:bCs/>
        </w:rPr>
        <w:t xml:space="preserve"> and IOM. The Board was co-chaired by the UN Resident Coordinator and a representative from the </w:t>
      </w:r>
      <w:proofErr w:type="spellStart"/>
      <w:r>
        <w:rPr>
          <w:rFonts w:asciiTheme="minorHAnsi" w:hAnsiTheme="minorHAnsi" w:cstheme="minorBidi"/>
          <w:bCs/>
        </w:rPr>
        <w:t>CoM</w:t>
      </w:r>
      <w:proofErr w:type="spellEnd"/>
      <w:r>
        <w:rPr>
          <w:rFonts w:asciiTheme="minorHAnsi" w:hAnsiTheme="minorHAnsi" w:cstheme="minorBidi"/>
          <w:bCs/>
        </w:rPr>
        <w:t xml:space="preserve"> BiH, with the participation of the Embassy of Sweden in the work of the Board as an observer. The Programme Board was the decision-making authority for the Programme, responsible for the </w:t>
      </w:r>
      <w:proofErr w:type="spellStart"/>
      <w:r>
        <w:rPr>
          <w:rFonts w:asciiTheme="minorHAnsi" w:hAnsiTheme="minorHAnsi" w:cstheme="minorBidi"/>
          <w:bCs/>
        </w:rPr>
        <w:t>Programme’s</w:t>
      </w:r>
      <w:proofErr w:type="spellEnd"/>
      <w:r>
        <w:rPr>
          <w:rFonts w:asciiTheme="minorHAnsi" w:hAnsiTheme="minorHAnsi" w:cstheme="minorBidi"/>
          <w:bCs/>
        </w:rPr>
        <w:t xml:space="preserve"> management oversight. It reviewed and endorsed annual work plans, </w:t>
      </w:r>
      <w:proofErr w:type="gramStart"/>
      <w:r>
        <w:rPr>
          <w:rFonts w:asciiTheme="minorHAnsi" w:hAnsiTheme="minorHAnsi" w:cstheme="minorBidi"/>
          <w:bCs/>
        </w:rPr>
        <w:t>supervised</w:t>
      </w:r>
      <w:proofErr w:type="gramEnd"/>
      <w:r>
        <w:rPr>
          <w:rFonts w:asciiTheme="minorHAnsi" w:hAnsiTheme="minorHAnsi" w:cstheme="minorBidi"/>
          <w:bCs/>
        </w:rPr>
        <w:t xml:space="preserve"> and monitored the progress of implementation, and authorized any major deviation therefrom. Six Programme Board meetings were held over the duration of the Programme.</w:t>
      </w:r>
    </w:p>
    <w:p w:rsidRPr="003D7404" w:rsidR="2978FE38" w:rsidP="003E710B" w:rsidRDefault="2978FE38" w14:paraId="503623A6" w14:textId="77777777">
      <w:pPr>
        <w:spacing w:before="120"/>
        <w:jc w:val="both"/>
        <w:rPr>
          <w:rFonts w:asciiTheme="minorHAnsi" w:hAnsiTheme="minorHAnsi" w:cstheme="minorBidi"/>
          <w:bCs/>
        </w:rPr>
      </w:pPr>
      <w:r>
        <w:rPr>
          <w:rFonts w:asciiTheme="minorHAnsi" w:hAnsiTheme="minorHAnsi" w:cstheme="minorBidi"/>
          <w:bCs/>
        </w:rPr>
        <w:t xml:space="preserve">The Programme Assurance, performed by the UNDP Good Governance Sector Leader and Associate, with support of the UNDP Sustainable Growth Sector Leader, supported the Programme Board by carrying out objective Programme oversight and monitoring functions. </w:t>
      </w:r>
    </w:p>
    <w:p w:rsidRPr="003E710B" w:rsidR="00973E85" w:rsidP="0035648C" w:rsidRDefault="64F588C8" w14:paraId="213424AF" w14:textId="77777777">
      <w:pPr>
        <w:pStyle w:val="Heading1"/>
        <w:pBdr>
          <w:bottom w:val="single" w:color="0468B1" w:sz="6" w:space="1"/>
        </w:pBdr>
        <w:rPr>
          <w:rFonts w:asciiTheme="minorHAnsi" w:hAnsiTheme="minorHAnsi" w:cstheme="minorHAnsi"/>
          <w:b/>
          <w:color w:val="auto"/>
          <w:sz w:val="24"/>
          <w:szCs w:val="24"/>
        </w:rPr>
      </w:pPr>
      <w:bookmarkStart w:name="_Toc519243252" w:id="38"/>
      <w:bookmarkStart w:name="_Toc221887269" w:id="39"/>
      <w:r>
        <w:rPr>
          <w:rFonts w:asciiTheme="minorHAnsi" w:hAnsiTheme="minorHAnsi" w:cstheme="minorHAnsi"/>
          <w:b/>
          <w:color w:val="0468B1"/>
          <w:szCs w:val="24"/>
        </w:rPr>
        <w:t>Lessons learned</w:t>
      </w:r>
      <w:bookmarkEnd w:id="38"/>
      <w:bookmarkEnd w:id="39"/>
    </w:p>
    <w:p w:rsidRPr="003D7404" w:rsidR="00973E85" w:rsidP="00973E85" w:rsidRDefault="00973E85" w14:paraId="68701355" w14:textId="77777777">
      <w:pPr>
        <w:rPr>
          <w:rFonts w:asciiTheme="minorHAnsi" w:hAnsiTheme="minorHAnsi" w:cstheme="minorHAnsi"/>
          <w:bCs/>
          <w:sz w:val="12"/>
        </w:rPr>
      </w:pPr>
    </w:p>
    <w:p w:rsidRPr="003D7404" w:rsidR="00D0496C" w:rsidP="00D0496C" w:rsidRDefault="008955EA" w14:paraId="2EA281D7"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Taking into consideration the </w:t>
      </w:r>
      <w:proofErr w:type="spellStart"/>
      <w:r>
        <w:rPr>
          <w:rFonts w:eastAsia="Times New Roman" w:asciiTheme="minorHAnsi" w:hAnsiTheme="minorHAnsi" w:cstheme="minorBidi"/>
          <w:bCs/>
        </w:rPr>
        <w:t>Programme's</w:t>
      </w:r>
      <w:proofErr w:type="spellEnd"/>
      <w:r>
        <w:rPr>
          <w:rFonts w:eastAsia="Times New Roman" w:asciiTheme="minorHAnsi" w:hAnsiTheme="minorHAnsi" w:cstheme="minorBidi"/>
          <w:bCs/>
        </w:rPr>
        <w:t xml:space="preserve"> experience and learnings from previous similar initiatives, the following key lessons should be considered: </w:t>
      </w:r>
    </w:p>
    <w:p w:rsidRPr="003D7404" w:rsidR="002F5EF1" w:rsidP="002F5EF1" w:rsidRDefault="002F5EF1" w14:paraId="2B5BE667"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 The participatory and consultative approach applied, paired with continuous capacity development and awareness raising, proved crucial for success and domestic ownership of both processes and results. Stakeholders valued the opportunity to co-create solutions, contribute ideas, and jointly own the achievements, ensuring lasting commitment beyond the </w:t>
      </w:r>
      <w:proofErr w:type="spellStart"/>
      <w:r>
        <w:rPr>
          <w:rFonts w:eastAsia="Times New Roman" w:asciiTheme="minorHAnsi" w:hAnsiTheme="minorHAnsi" w:cstheme="minorBidi"/>
          <w:bCs/>
        </w:rPr>
        <w:t>Programme’s</w:t>
      </w:r>
      <w:proofErr w:type="spellEnd"/>
      <w:r>
        <w:rPr>
          <w:rFonts w:eastAsia="Times New Roman" w:asciiTheme="minorHAnsi" w:hAnsiTheme="minorHAnsi" w:cstheme="minorBidi"/>
          <w:bCs/>
        </w:rPr>
        <w:t xml:space="preserve"> duration.</w:t>
      </w:r>
    </w:p>
    <w:p w:rsidRPr="003D7404" w:rsidR="002F5EF1" w:rsidP="002F5EF1" w:rsidRDefault="002F5EF1" w14:paraId="7FA2DA53"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Continuous empowerment of institutional partners strengthened their readiness and confidence to lead SDG processes independently. This approach, built on flexibility rather than prescriptive actions, enabled national counterparts to take initiative, adapt to evolving contexts, and drive implementation forward.</w:t>
      </w:r>
    </w:p>
    <w:p w:rsidRPr="003D7404" w:rsidR="002F5EF1" w:rsidP="002F5EF1" w:rsidRDefault="002F5EF1" w14:paraId="259EAB59"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Anchoring the Programme within the national SDG Framework in BiH ensured relevance to BiH’s priorities and enhanced policy coherence across governance levels. The SDG Agenda proved to be largely apolitical due to it allowing for prioritization based on priorities of a specific government level or body. Continued investment in vertically and horizontally aligned strategic planning systems remains essential to sustain the systemic implementation of the SDG Framework in BiH.</w:t>
      </w:r>
    </w:p>
    <w:p w:rsidRPr="003D7404" w:rsidR="002F5EF1" w:rsidP="002F5EF1" w:rsidRDefault="002F5EF1" w14:paraId="53203F49"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 Integrated </w:t>
      </w:r>
      <w:proofErr w:type="spellStart"/>
      <w:r>
        <w:rPr>
          <w:rFonts w:eastAsia="Times New Roman" w:asciiTheme="minorHAnsi" w:hAnsiTheme="minorHAnsi" w:cstheme="minorBidi"/>
          <w:bCs/>
        </w:rPr>
        <w:t>programme</w:t>
      </w:r>
      <w:proofErr w:type="spellEnd"/>
      <w:r>
        <w:rPr>
          <w:rFonts w:eastAsia="Times New Roman" w:asciiTheme="minorHAnsi" w:hAnsiTheme="minorHAnsi" w:cstheme="minorBidi"/>
          <w:bCs/>
        </w:rPr>
        <w:t xml:space="preserve"> design that linked public reform, local implementation, and private sector transformation proved effective in promoting coherence and systemic change. Cross-sectoral results were strongest where inter-agency teams shared planning, budgeting, and implementation responsibilities.</w:t>
      </w:r>
    </w:p>
    <w:p w:rsidRPr="003D7404" w:rsidR="002F5EF1" w:rsidP="002F5EF1" w:rsidRDefault="002F5EF1" w14:paraId="1728B813"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 Innovation and exploration remained defining characteristics of the intervention. Piloting of circular economy and decarbonization models provided practical pathways for businesses to engage in sustainable transformation, </w:t>
      </w:r>
      <w:r>
        <w:rPr>
          <w:rFonts w:eastAsia="Times New Roman" w:asciiTheme="minorHAnsi" w:hAnsiTheme="minorHAnsi" w:cstheme="minorBidi"/>
          <w:bCs/>
        </w:rPr>
        <w:t>demonstrating that smaller, targeted investments can yield significant positive impact. However, businesses still require further support to build the necessary human capital and technical expertise to scale such initiatives.</w:t>
      </w:r>
    </w:p>
    <w:p w:rsidRPr="003D7404" w:rsidR="002F5EF1" w:rsidP="002F5EF1" w:rsidRDefault="002F5EF1" w14:paraId="102A819A"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Effective coordination among UN agencies was both an enabler and a challenge. Fragmented monitoring and operational systems limited visibility of joint results. Future joint programming should apply a unified Theory of Change, harmonized Monitoring and Evaluation framework, and common reporting platform to ensure coherence and accountability.</w:t>
      </w:r>
    </w:p>
    <w:p w:rsidRPr="003D7404" w:rsidR="002F5EF1" w:rsidP="002F5EF1" w:rsidRDefault="002F5EF1" w14:paraId="49BABC79"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Strong financial management, transparency, and high budget execution rates contributed to efficient delivery and reinforced donor confidence. Nevertheless, a hybrid governance model combining centralized finance with decentralized delivery created occasional delays, highlighting the need for streamlined decision-making and delegated operational authority.</w:t>
      </w:r>
    </w:p>
    <w:p w:rsidRPr="003D7404" w:rsidR="002F5EF1" w:rsidP="002F5EF1" w:rsidRDefault="002F5EF1" w14:paraId="1BDD4B65" w14:textId="77777777">
      <w:pPr>
        <w:spacing w:before="120"/>
        <w:jc w:val="both"/>
        <w:rPr>
          <w:rFonts w:eastAsia="Times New Roman" w:asciiTheme="minorHAnsi" w:hAnsiTheme="minorHAnsi" w:cstheme="minorBidi"/>
          <w:bCs/>
        </w:rPr>
      </w:pPr>
      <w:r>
        <w:rPr>
          <w:rFonts w:eastAsia="Times New Roman" w:asciiTheme="minorHAnsi" w:hAnsiTheme="minorHAnsi" w:cstheme="minorBidi"/>
          <w:bCs/>
        </w:rPr>
        <w:t>• Institutional sustainability of SDG coordination has been secured through the SDG Council. However, financial sustainability remains a challenge, as SDG financing tools and private-sector mechanisms are not yet fully operationalized to ensure continuity and scalability.</w:t>
      </w:r>
    </w:p>
    <w:p w:rsidRPr="003D7404" w:rsidR="0013709E" w:rsidP="0013709E" w:rsidRDefault="002F5EF1" w14:paraId="4EFB62CC" w14:textId="093FE195">
      <w:pPr>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 The Programme contributed to </w:t>
      </w:r>
      <w:proofErr w:type="spellStart"/>
      <w:r>
        <w:rPr>
          <w:rFonts w:eastAsia="Times New Roman" w:asciiTheme="minorHAnsi" w:hAnsiTheme="minorHAnsi" w:cstheme="minorBidi"/>
          <w:bCs/>
        </w:rPr>
        <w:t>behavioural</w:t>
      </w:r>
      <w:proofErr w:type="spellEnd"/>
      <w:r>
        <w:rPr>
          <w:rFonts w:eastAsia="Times New Roman" w:asciiTheme="minorHAnsi" w:hAnsiTheme="minorHAnsi" w:cstheme="minorBidi"/>
          <w:bCs/>
        </w:rPr>
        <w:t xml:space="preserve"> and systemic changes, including improved intergovernmental coordination and stronger alignment of private sector practices with ESG standards. Nonetheless, attribution of such systemic outcomes remains complex, underscoring the importance of establishing baselines, longitudinal data, and joint evaluation mechanisms to track and evidence long-term impact.</w:t>
      </w:r>
    </w:p>
    <w:p w:rsidRPr="003E710B" w:rsidR="00973E85" w:rsidP="0035648C" w:rsidRDefault="64F588C8" w14:paraId="1D0A0C52" w14:textId="77777777">
      <w:pPr>
        <w:pStyle w:val="Heading1"/>
        <w:pBdr>
          <w:bottom w:val="single" w:color="0468B1" w:sz="6" w:space="1"/>
        </w:pBdr>
        <w:rPr>
          <w:rFonts w:asciiTheme="minorHAnsi" w:hAnsiTheme="minorHAnsi" w:cstheme="minorHAnsi"/>
          <w:b/>
          <w:color w:val="auto"/>
          <w:sz w:val="24"/>
          <w:szCs w:val="24"/>
        </w:rPr>
      </w:pPr>
      <w:bookmarkStart w:name="_Toc519243253" w:id="40"/>
      <w:bookmarkStart w:name="_Toc221887270" w:id="41"/>
      <w:r>
        <w:rPr>
          <w:rFonts w:asciiTheme="minorHAnsi" w:hAnsiTheme="minorHAnsi" w:cstheme="minorHAnsi"/>
          <w:b/>
          <w:color w:val="0468B1"/>
          <w:szCs w:val="24"/>
        </w:rPr>
        <w:t>Gender</w:t>
      </w:r>
      <w:bookmarkEnd w:id="40"/>
      <w:r>
        <w:rPr>
          <w:rFonts w:asciiTheme="minorHAnsi" w:hAnsiTheme="minorHAnsi" w:cstheme="minorHAnsi"/>
          <w:b/>
          <w:color w:val="0468B1"/>
          <w:szCs w:val="24"/>
        </w:rPr>
        <w:t xml:space="preserve"> equality</w:t>
      </w:r>
      <w:bookmarkEnd w:id="41"/>
    </w:p>
    <w:p w:rsidRPr="003D7404" w:rsidR="00B51BAC" w:rsidP="00DF2402" w:rsidRDefault="00B51BAC" w14:paraId="258761F5" w14:textId="77777777">
      <w:pPr>
        <w:jc w:val="both"/>
        <w:rPr>
          <w:rFonts w:eastAsia="Calibri"/>
          <w:bCs/>
        </w:rPr>
      </w:pPr>
    </w:p>
    <w:p w:rsidRPr="003D7404" w:rsidR="00667C6D" w:rsidP="00DF2402" w:rsidRDefault="7A288FCB" w14:paraId="55C5C85F" w14:textId="77777777">
      <w:pPr>
        <w:spacing w:before="120"/>
        <w:jc w:val="both"/>
        <w:rPr>
          <w:rFonts w:eastAsia="Calibri"/>
          <w:bCs/>
        </w:rPr>
      </w:pPr>
      <w:r>
        <w:rPr>
          <w:rFonts w:eastAsia="Calibri"/>
          <w:bCs/>
        </w:rPr>
        <w:t>Gender equality principles are at the core of UNDP’s mandate, being one of six signature solutions within current UNDP’s Strategic Plan. The Country Office (CO) has implemented the Gender Portfolio Review to understand gender equality programming interventions from a systems perspective, connect diverse interventions to achieve broader gender equality goals, and optimize the CO programming and resources to achieve greater gender equality outcomes. SDG2BiH was one of the projects reviewed for its gender equality contributions under a process that qualified the BiH CO for a Gender Seal Appraisal Mission. The Mission, completed on 17</w:t>
      </w:r>
      <w:r>
        <w:rPr>
          <w:rFonts w:eastAsia="Calibri"/>
          <w:bCs/>
          <w:vertAlign w:val="superscript"/>
        </w:rPr>
        <w:t>th</w:t>
      </w:r>
      <w:r>
        <w:rPr>
          <w:rFonts w:eastAsia="Calibri"/>
          <w:bCs/>
        </w:rPr>
        <w:t xml:space="preserve"> November 2023, resulted in UNDP BiH CO being awarded the </w:t>
      </w:r>
      <w:r>
        <w:rPr>
          <w:rFonts w:eastAsia="Calibri"/>
          <w:bCs/>
          <w:i/>
          <w:iCs/>
        </w:rPr>
        <w:t>Gold Gender Equality Seal</w:t>
      </w:r>
      <w:r>
        <w:rPr>
          <w:rFonts w:eastAsia="Calibri"/>
          <w:bCs/>
        </w:rPr>
        <w:t>.</w:t>
      </w:r>
    </w:p>
    <w:p w:rsidRPr="003D7404" w:rsidR="00667C6D" w:rsidP="003E710B" w:rsidRDefault="7A288FCB" w14:paraId="1FA4D295" w14:textId="77777777">
      <w:pPr>
        <w:spacing w:before="120"/>
        <w:jc w:val="both"/>
        <w:rPr>
          <w:rFonts w:eastAsia="Calibri"/>
          <w:bCs/>
        </w:rPr>
      </w:pPr>
      <w:r>
        <w:rPr>
          <w:rFonts w:eastAsia="Calibri"/>
          <w:bCs/>
        </w:rPr>
        <w:t xml:space="preserve">Gender equality also represents an important accelerator for achieving the 2030 Agenda for Sustainable Development. At the UNDP CO level gender equality work was being guided by its own </w:t>
      </w:r>
      <w:r>
        <w:rPr>
          <w:rFonts w:eastAsia="Calibri"/>
          <w:bCs/>
          <w:i/>
          <w:iCs/>
        </w:rPr>
        <w:t>Gender Equality Strategy and Action Plan</w:t>
      </w:r>
      <w:r>
        <w:rPr>
          <w:rFonts w:eastAsia="Calibri"/>
          <w:bCs/>
        </w:rPr>
        <w:t xml:space="preserve"> (2021-2025) which provided a localized roadmap to reach the objectives of the corporate </w:t>
      </w:r>
      <w:r>
        <w:rPr>
          <w:rFonts w:eastAsia="Calibri"/>
          <w:bCs/>
          <w:i/>
          <w:iCs/>
        </w:rPr>
        <w:t>UNDP Gender Equality Strategy</w:t>
      </w:r>
      <w:r>
        <w:rPr>
          <w:rFonts w:eastAsia="Calibri"/>
          <w:bCs/>
        </w:rPr>
        <w:t xml:space="preserve"> (2022-2025</w:t>
      </w:r>
      <w:proofErr w:type="gramStart"/>
      <w:r>
        <w:rPr>
          <w:rFonts w:eastAsia="Calibri"/>
          <w:bCs/>
        </w:rPr>
        <w:t>), and</w:t>
      </w:r>
      <w:proofErr w:type="gramEnd"/>
      <w:r>
        <w:rPr>
          <w:rFonts w:eastAsia="Calibri"/>
          <w:bCs/>
        </w:rPr>
        <w:t xml:space="preserve"> was an important tool for operationalizing the gender actions in the </w:t>
      </w:r>
      <w:r>
        <w:rPr>
          <w:rFonts w:eastAsia="Calibri"/>
          <w:bCs/>
          <w:i/>
          <w:iCs/>
        </w:rPr>
        <w:t>UNSDCF</w:t>
      </w:r>
      <w:r>
        <w:rPr>
          <w:rFonts w:eastAsia="Calibri"/>
          <w:bCs/>
        </w:rPr>
        <w:t xml:space="preserve"> (2021-2025) and </w:t>
      </w:r>
      <w:r>
        <w:rPr>
          <w:rFonts w:eastAsia="Calibri"/>
          <w:bCs/>
          <w:i/>
          <w:iCs/>
        </w:rPr>
        <w:t>Country Programme Document for BiH</w:t>
      </w:r>
      <w:r>
        <w:rPr>
          <w:rFonts w:eastAsia="Calibri"/>
          <w:bCs/>
        </w:rPr>
        <w:t xml:space="preserve"> (2021-2025), and broader </w:t>
      </w:r>
      <w:r>
        <w:rPr>
          <w:rFonts w:eastAsia="Calibri"/>
          <w:bCs/>
          <w:i/>
          <w:iCs/>
        </w:rPr>
        <w:t>2030 Agenda for Sustainable Development</w:t>
      </w:r>
      <w:r>
        <w:rPr>
          <w:rFonts w:eastAsia="Calibri"/>
          <w:bCs/>
        </w:rPr>
        <w:t xml:space="preserve">. </w:t>
      </w:r>
      <w:r>
        <w:rPr>
          <w:rFonts w:eastAsia="Calibri"/>
          <w:bCs/>
          <w:i/>
          <w:iCs/>
        </w:rPr>
        <w:t>UNDP CO BiH Strategy and Gender Action Plan</w:t>
      </w:r>
      <w:r>
        <w:rPr>
          <w:rFonts w:eastAsia="Calibri"/>
          <w:bCs/>
        </w:rPr>
        <w:t xml:space="preserve"> was guided by the following objectives:</w:t>
      </w:r>
    </w:p>
    <w:p w:rsidRPr="003D7404" w:rsidR="00667C6D" w:rsidP="00DF2402" w:rsidRDefault="7A288FCB" w14:paraId="112F7174" w14:textId="77777777">
      <w:pPr>
        <w:jc w:val="both"/>
        <w:rPr>
          <w:rFonts w:eastAsia="Calibri"/>
          <w:bCs/>
        </w:rPr>
      </w:pPr>
      <w:r>
        <w:rPr>
          <w:rFonts w:eastAsia="Calibri"/>
          <w:bCs/>
        </w:rPr>
        <w:t xml:space="preserve"> </w:t>
      </w:r>
    </w:p>
    <w:p w:rsidRPr="003D7404" w:rsidR="00667C6D" w:rsidP="00DF2402" w:rsidRDefault="7A288FCB" w14:paraId="64202204" w14:textId="77777777">
      <w:pPr>
        <w:pStyle w:val="ListParagraph"/>
        <w:numPr>
          <w:ilvl w:val="0"/>
          <w:numId w:val="15"/>
        </w:numPr>
        <w:spacing w:before="120"/>
        <w:jc w:val="both"/>
        <w:rPr>
          <w:rFonts w:eastAsia="Calibri"/>
          <w:bCs/>
        </w:rPr>
      </w:pPr>
      <w:r>
        <w:rPr>
          <w:rFonts w:eastAsia="Calibri"/>
          <w:bCs/>
        </w:rPr>
        <w:t xml:space="preserve">Establish gender equality as a cross-cutting issue across CO programming and intensify efforts towards gender </w:t>
      </w:r>
      <w:proofErr w:type="gramStart"/>
      <w:r>
        <w:rPr>
          <w:rFonts w:eastAsia="Calibri"/>
          <w:bCs/>
        </w:rPr>
        <w:t>mainstreaming;</w:t>
      </w:r>
      <w:proofErr w:type="gramEnd"/>
    </w:p>
    <w:p w:rsidRPr="003D7404" w:rsidR="00667C6D" w:rsidP="00DF2402" w:rsidRDefault="7A288FCB" w14:paraId="3FC5DA1B" w14:textId="77777777">
      <w:pPr>
        <w:pStyle w:val="ListParagraph"/>
        <w:numPr>
          <w:ilvl w:val="0"/>
          <w:numId w:val="15"/>
        </w:numPr>
        <w:spacing w:before="120"/>
        <w:jc w:val="both"/>
        <w:rPr>
          <w:rFonts w:eastAsia="Calibri"/>
          <w:bCs/>
        </w:rPr>
      </w:pPr>
      <w:r>
        <w:rPr>
          <w:rFonts w:eastAsia="Calibri"/>
          <w:bCs/>
        </w:rPr>
        <w:t xml:space="preserve">Increase </w:t>
      </w:r>
      <w:proofErr w:type="spellStart"/>
      <w:r>
        <w:rPr>
          <w:rFonts w:eastAsia="Calibri"/>
          <w:bCs/>
        </w:rPr>
        <w:t>programme</w:t>
      </w:r>
      <w:proofErr w:type="spellEnd"/>
      <w:r>
        <w:rPr>
          <w:rFonts w:eastAsia="Calibri"/>
          <w:bCs/>
        </w:rPr>
        <w:t xml:space="preserve"> development and fundraising efforts towards gender/empowerment of women specific programming </w:t>
      </w:r>
      <w:proofErr w:type="gramStart"/>
      <w:r>
        <w:rPr>
          <w:rFonts w:eastAsia="Calibri"/>
          <w:bCs/>
        </w:rPr>
        <w:t>efforts;</w:t>
      </w:r>
      <w:proofErr w:type="gramEnd"/>
    </w:p>
    <w:p w:rsidRPr="003D7404" w:rsidR="00667C6D" w:rsidP="00DF2402" w:rsidRDefault="7A288FCB" w14:paraId="244D11CE" w14:textId="77777777">
      <w:pPr>
        <w:pStyle w:val="ListParagraph"/>
        <w:numPr>
          <w:ilvl w:val="0"/>
          <w:numId w:val="15"/>
        </w:numPr>
        <w:spacing w:before="120"/>
        <w:jc w:val="both"/>
        <w:rPr>
          <w:rFonts w:eastAsia="Calibri"/>
          <w:bCs/>
        </w:rPr>
      </w:pPr>
      <w:r>
        <w:rPr>
          <w:rFonts w:eastAsia="Calibri"/>
          <w:bCs/>
        </w:rPr>
        <w:t xml:space="preserve">Ensure that gender analysis and planning are introduced into all strategic CO activities and initiatives at the outset at the design and concept </w:t>
      </w:r>
      <w:proofErr w:type="gramStart"/>
      <w:r>
        <w:rPr>
          <w:rFonts w:eastAsia="Calibri"/>
          <w:bCs/>
        </w:rPr>
        <w:t>stage;</w:t>
      </w:r>
      <w:proofErr w:type="gramEnd"/>
    </w:p>
    <w:p w:rsidRPr="003D7404" w:rsidR="00667C6D" w:rsidP="00DF2402" w:rsidRDefault="7A288FCB" w14:paraId="3BB0D711" w14:textId="77777777">
      <w:pPr>
        <w:pStyle w:val="ListParagraph"/>
        <w:numPr>
          <w:ilvl w:val="0"/>
          <w:numId w:val="15"/>
        </w:numPr>
        <w:spacing w:before="120"/>
        <w:jc w:val="both"/>
        <w:rPr>
          <w:rFonts w:eastAsia="Calibri"/>
          <w:bCs/>
        </w:rPr>
      </w:pPr>
      <w:r>
        <w:rPr>
          <w:rFonts w:eastAsia="Calibri"/>
          <w:bCs/>
        </w:rPr>
        <w:t xml:space="preserve">Establish internal coordination for gender equality results, including by creating a multi-disciplinary gender focal team by gradual capacity development of staff in programming and mainstreaming gender in their thematic </w:t>
      </w:r>
      <w:proofErr w:type="gramStart"/>
      <w:r>
        <w:rPr>
          <w:rFonts w:eastAsia="Calibri"/>
          <w:bCs/>
        </w:rPr>
        <w:t>sectors;</w:t>
      </w:r>
      <w:proofErr w:type="gramEnd"/>
    </w:p>
    <w:p w:rsidRPr="003D7404" w:rsidR="00667C6D" w:rsidP="00DF2402" w:rsidRDefault="7A288FCB" w14:paraId="0A3768BE" w14:textId="77777777">
      <w:pPr>
        <w:pStyle w:val="ListParagraph"/>
        <w:numPr>
          <w:ilvl w:val="0"/>
          <w:numId w:val="15"/>
        </w:numPr>
        <w:spacing w:before="120"/>
        <w:jc w:val="both"/>
        <w:rPr>
          <w:rFonts w:eastAsia="Calibri"/>
          <w:bCs/>
        </w:rPr>
      </w:pPr>
      <w:r>
        <w:rPr>
          <w:rFonts w:eastAsia="Calibri"/>
          <w:bCs/>
        </w:rPr>
        <w:t xml:space="preserve">Build and expand partnerships with government entities, UN agencies, civil society, private sector, grassroots women´s groups and other stakeholders for advocacy and broad ownership of UN </w:t>
      </w:r>
      <w:proofErr w:type="gramStart"/>
      <w:r>
        <w:rPr>
          <w:rFonts w:eastAsia="Calibri"/>
          <w:bCs/>
        </w:rPr>
        <w:t>goals;</w:t>
      </w:r>
      <w:proofErr w:type="gramEnd"/>
    </w:p>
    <w:p w:rsidRPr="003D7404" w:rsidR="00667C6D" w:rsidP="00DF2402" w:rsidRDefault="7A288FCB" w14:paraId="0AB9F208" w14:textId="77777777">
      <w:pPr>
        <w:pStyle w:val="ListParagraph"/>
        <w:numPr>
          <w:ilvl w:val="0"/>
          <w:numId w:val="15"/>
        </w:numPr>
        <w:spacing w:before="120"/>
        <w:jc w:val="both"/>
        <w:rPr>
          <w:rFonts w:eastAsia="Calibri"/>
          <w:bCs/>
        </w:rPr>
      </w:pPr>
      <w:r>
        <w:rPr>
          <w:rFonts w:eastAsia="Calibri"/>
          <w:bCs/>
        </w:rPr>
        <w:t xml:space="preserve">Facilitate CO compliance with the Gender Seal process and ensure smooth implementation of the CO Improvement Plan, anchoring and interconnecting the two related streams of action. </w:t>
      </w:r>
    </w:p>
    <w:p w:rsidRPr="003D7404" w:rsidR="00667C6D" w:rsidP="00DF2402" w:rsidRDefault="7A288FCB" w14:paraId="1A86C871" w14:textId="77777777">
      <w:pPr>
        <w:jc w:val="both"/>
        <w:rPr>
          <w:rFonts w:eastAsia="Calibri"/>
          <w:bCs/>
        </w:rPr>
      </w:pPr>
      <w:r>
        <w:rPr>
          <w:rFonts w:eastAsia="Calibri"/>
          <w:bCs/>
        </w:rPr>
        <w:t xml:space="preserve"> </w:t>
      </w:r>
    </w:p>
    <w:p w:rsidRPr="003D7404" w:rsidR="00667C6D" w:rsidP="003E710B" w:rsidRDefault="7A288FCB" w14:paraId="3FC45EFB" w14:textId="77777777">
      <w:pPr>
        <w:spacing w:before="120"/>
        <w:jc w:val="both"/>
        <w:rPr>
          <w:rStyle w:val="Hyperlink"/>
          <w:rFonts w:eastAsia="Calibri"/>
          <w:bCs/>
          <w:lang w:val="en-GB"/>
        </w:rPr>
      </w:pPr>
      <w:r>
        <w:rPr>
          <w:rFonts w:eastAsia="Calibri"/>
          <w:bCs/>
          <w:i/>
          <w:iCs/>
          <w:lang w:val="en-GB"/>
        </w:rPr>
        <w:t>SDG Framework in BiH</w:t>
      </w:r>
      <w:r>
        <w:rPr>
          <w:rFonts w:eastAsia="Calibri"/>
          <w:bCs/>
          <w:lang w:val="en-GB"/>
        </w:rPr>
        <w:t xml:space="preserve"> itself is a gender responsive document and as the only country-wide development agenda in the country, it brings to the front SDG 5 (Achieving Gender Equality), as per the targets defined in the SDG Framework in BiH. Importantly, the SDG Framework in BiH, implemented under the leadership of the SDG Council, addresses gender equality from different development perspectives and defines specific 2030 targets for both men and women. Priorities from the SDG Framework in BiH are further mainstreamed into sub-national planning documents. Furthermore, the SDG FF prescribes specific tools to integrate gender equality into public policies, namely Gender Bonds.</w:t>
      </w:r>
      <w:r>
        <w:rPr>
          <w:rStyle w:val="FootnoteReference"/>
          <w:rFonts w:eastAsia="Calibri"/>
          <w:bCs/>
          <w:lang w:val="en-GB"/>
        </w:rPr>
        <w:footnoteReference w:id="3"/>
      </w:r>
    </w:p>
    <w:p w:rsidRPr="003D7404" w:rsidR="00CA2AD3" w:rsidP="003E710B" w:rsidRDefault="7A288FCB" w14:paraId="28C8A806" w14:textId="3809CA90">
      <w:pPr>
        <w:spacing w:before="120"/>
        <w:jc w:val="both"/>
        <w:rPr>
          <w:rFonts w:eastAsia="Calibri"/>
          <w:bCs/>
          <w:lang w:val="en-GB"/>
        </w:rPr>
      </w:pPr>
      <w:r>
        <w:rPr>
          <w:rFonts w:eastAsia="Calibri"/>
          <w:bCs/>
          <w:lang w:val="en-GB"/>
        </w:rPr>
        <w:t>The Programme actively mainstreamed gender equality throughout its processes and encouraged partners to do the same. Notably, the SDG Business Pioneers Award features selection criteria focused on women’s workplace rights, including female leadership representation and maternity policies, making gender equality a core standard for sustainable business.</w:t>
      </w:r>
    </w:p>
    <w:p w:rsidRPr="003D7404" w:rsidR="00CA2AD3" w:rsidP="003E710B" w:rsidRDefault="00CA2AD3" w14:paraId="777CE363" w14:textId="743E4FC7">
      <w:pPr>
        <w:spacing w:before="120"/>
        <w:jc w:val="both"/>
        <w:rPr>
          <w:rFonts w:eastAsia="Calibri"/>
          <w:bCs/>
          <w:lang w:val="en-GB"/>
        </w:rPr>
      </w:pPr>
      <w:r>
        <w:rPr>
          <w:rFonts w:eastAsia="Calibri"/>
          <w:bCs/>
          <w:lang w:val="en-GB"/>
        </w:rPr>
        <w:t>Each year, SDG Week in BiH dedicated prominent events to gender equality, positioning it as essential for sustainable development. In 2025, the Showcase Session “Care Economy in Action” (by UN Women, UNDP, UNFPA, UNICEF) spotlighted the care economy as a game-changer for women’s employment and community wellbeing. The Dialogue on SDG 5 mobilized investment and attention towards gender equality as key to achieving the 2030 Agenda, while sessions with local peacebuilders drove collective advocacy for gender-responsive policy.</w:t>
      </w:r>
    </w:p>
    <w:p w:rsidRPr="003D7404" w:rsidR="00120E62" w:rsidP="003E710B" w:rsidRDefault="00CA2AD3" w14:paraId="03721C7B" w14:textId="77777777">
      <w:pPr>
        <w:spacing w:before="120"/>
        <w:jc w:val="both"/>
        <w:rPr>
          <w:rFonts w:eastAsia="Calibri"/>
          <w:bCs/>
          <w:lang w:val="en-GB"/>
        </w:rPr>
      </w:pPr>
      <w:r>
        <w:rPr>
          <w:rFonts w:eastAsia="Calibri"/>
          <w:bCs/>
          <w:lang w:val="en-GB"/>
        </w:rPr>
        <w:t>The Programme also pioneered events on energy, governance, and environmental justice, ensuring equal benefit and participation for women in these sectors. Conferences on local gender action plans targeted domestic violence and fostered grassroots collaboration among institutions, leaders, CSOs, and experts.</w:t>
      </w:r>
    </w:p>
    <w:p w:rsidRPr="003D7404" w:rsidR="00EE165A" w:rsidP="003E710B" w:rsidRDefault="00FC3736" w14:paraId="76688A13" w14:textId="32946EF9">
      <w:pPr>
        <w:spacing w:before="120"/>
        <w:jc w:val="both"/>
        <w:rPr>
          <w:bCs/>
        </w:rPr>
      </w:pPr>
      <w:r>
        <w:rPr>
          <w:bCs/>
        </w:rPr>
        <w:t>The care economy interventions described in Section 1.1.3 advanced gender equality by recognizing and redistributing unpaid care work, professionalizing home-based care services, and creating employment opportunities for women in the care sector. These initiatives demonstrated that addressing care infrastructure is essential for women's economic empowerment and achieving SDG 5.</w:t>
      </w:r>
    </w:p>
    <w:p w:rsidRPr="003D7404" w:rsidR="00120E62" w:rsidP="00120E62" w:rsidRDefault="00120E62" w14:paraId="68F4EC1F" w14:textId="77777777">
      <w:pPr>
        <w:ind w:firstLine="360"/>
        <w:jc w:val="both"/>
        <w:rPr>
          <w:bCs/>
        </w:rPr>
      </w:pPr>
    </w:p>
    <w:p w:rsidRPr="003E710B" w:rsidR="00973E85" w:rsidP="000C4344" w:rsidRDefault="7A288FCB" w14:paraId="2385EA19" w14:textId="77777777">
      <w:pPr>
        <w:pStyle w:val="Heading1"/>
        <w:pBdr>
          <w:bottom w:val="single" w:color="0468B1" w:sz="6" w:space="1"/>
        </w:pBdr>
        <w:jc w:val="both"/>
        <w:rPr>
          <w:rFonts w:asciiTheme="minorHAnsi" w:hAnsiTheme="minorHAnsi" w:cstheme="minorBidi"/>
          <w:b/>
          <w:sz w:val="24"/>
          <w:szCs w:val="24"/>
        </w:rPr>
      </w:pPr>
      <w:r>
        <w:rPr>
          <w:rFonts w:eastAsia="Calibri"/>
          <w:b/>
          <w:color w:val="0468B1"/>
        </w:rPr>
        <w:t xml:space="preserve"> </w:t>
      </w:r>
      <w:bookmarkStart w:name="_Toc47531602" w:id="42"/>
      <w:bookmarkStart w:name="_Toc47532282" w:id="43"/>
      <w:bookmarkStart w:name="_Toc47532345" w:id="44"/>
      <w:bookmarkStart w:name="_Toc47532379" w:id="45"/>
      <w:bookmarkStart w:name="_Toc47531603" w:id="46"/>
      <w:bookmarkStart w:name="_Toc47532283" w:id="47"/>
      <w:bookmarkStart w:name="_Toc47532346" w:id="48"/>
      <w:bookmarkStart w:name="_Toc47532380" w:id="49"/>
      <w:bookmarkStart w:name="_Toc47531604" w:id="50"/>
      <w:bookmarkStart w:name="_Toc47532284" w:id="51"/>
      <w:bookmarkStart w:name="_Toc47532347" w:id="52"/>
      <w:bookmarkStart w:name="_Toc47532381" w:id="53"/>
      <w:bookmarkStart w:name="_Toc519243254" w:id="54"/>
      <w:bookmarkStart w:name="_Toc221887271" w:id="55"/>
      <w:bookmarkEnd w:id="42"/>
      <w:bookmarkEnd w:id="43"/>
      <w:bookmarkEnd w:id="44"/>
      <w:bookmarkEnd w:id="45"/>
      <w:bookmarkEnd w:id="46"/>
      <w:bookmarkEnd w:id="47"/>
      <w:bookmarkEnd w:id="48"/>
      <w:bookmarkEnd w:id="49"/>
      <w:bookmarkEnd w:id="50"/>
      <w:bookmarkEnd w:id="51"/>
      <w:bookmarkEnd w:id="52"/>
      <w:bookmarkEnd w:id="53"/>
      <w:r>
        <w:rPr>
          <w:rFonts w:asciiTheme="minorHAnsi" w:hAnsiTheme="minorHAnsi" w:cstheme="minorBidi"/>
          <w:b/>
          <w:color w:val="0468B1"/>
          <w:szCs w:val="24"/>
        </w:rPr>
        <w:t>Visibility</w:t>
      </w:r>
      <w:bookmarkEnd w:id="54"/>
      <w:bookmarkEnd w:id="55"/>
      <w:r>
        <w:rPr>
          <w:rFonts w:asciiTheme="minorHAnsi" w:hAnsiTheme="minorHAnsi" w:cstheme="minorBidi"/>
          <w:b/>
          <w:color w:val="0468B1"/>
          <w:szCs w:val="24"/>
        </w:rPr>
        <w:t xml:space="preserve"> </w:t>
      </w:r>
    </w:p>
    <w:p w:rsidRPr="003D7404" w:rsidR="0035648C" w:rsidP="0035648C" w:rsidRDefault="0035648C" w14:paraId="637289D6" w14:textId="77777777">
      <w:pPr>
        <w:rPr>
          <w:bCs/>
        </w:rPr>
      </w:pPr>
    </w:p>
    <w:p w:rsidRPr="003D7404" w:rsidR="071E7443" w:rsidP="003E710B" w:rsidRDefault="219FFB83" w14:paraId="028E1D1B" w14:textId="46DA97D7">
      <w:pPr>
        <w:spacing w:before="120"/>
        <w:contextualSpacing/>
        <w:jc w:val="both"/>
        <w:rPr>
          <w:rFonts w:eastAsia="Calibri"/>
          <w:bCs/>
        </w:rPr>
      </w:pPr>
      <w:r>
        <w:rPr>
          <w:rFonts w:eastAsia="Calibri"/>
          <w:bCs/>
        </w:rPr>
        <w:t xml:space="preserve">Over the course of implementation, the Programme achieved sustained visibility through coordinated media outreach, digital communications, flagship initiatives, and joint UN branding. Visibility efforts supported public awareness of SDG localization, policy dialogue, and Programme-supported reforms, while ensuring consistent donor and UN co-visibility. </w:t>
      </w:r>
    </w:p>
    <w:p w:rsidRPr="003D7404" w:rsidR="071E7443" w:rsidP="003E710B" w:rsidRDefault="219FFB83" w14:paraId="20FF33FB" w14:textId="7140D2FB">
      <w:pPr>
        <w:spacing w:before="120"/>
        <w:jc w:val="both"/>
        <w:rPr>
          <w:rFonts w:eastAsia="Calibri"/>
          <w:bCs/>
        </w:rPr>
      </w:pPr>
      <w:r>
        <w:rPr>
          <w:rFonts w:eastAsia="Calibri"/>
          <w:bCs/>
        </w:rPr>
        <w:t>Across the implementation period, the Programme generated at least 720 media mentions across print, online, television, and radio outlets. Media coverage was higher in the later stages of implementation, as reflected in reported annual figures, as communications increasingly focused on results and concrete examples of SDG implementation. Media visibility was driven primarily by flagship initiatives, SDG Week, SDG Business Pioneers Award, policy dialogue events, and Bosnia and Herzegovina’s participation in international SDG-related processes.</w:t>
      </w:r>
    </w:p>
    <w:p w:rsidRPr="003D7404" w:rsidR="071E7443" w:rsidP="003E710B" w:rsidRDefault="219FFB83" w14:paraId="7979ED3D" w14:textId="54FC61CD">
      <w:pPr>
        <w:contextualSpacing/>
        <w:jc w:val="both"/>
        <w:rPr>
          <w:rFonts w:eastAsia="Calibri"/>
          <w:bCs/>
        </w:rPr>
      </w:pPr>
      <w:r>
        <w:rPr>
          <w:rFonts w:eastAsia="Calibri"/>
          <w:bCs/>
        </w:rPr>
        <w:t xml:space="preserve"> </w:t>
      </w:r>
    </w:p>
    <w:p w:rsidRPr="003D7404" w:rsidR="071E7443" w:rsidP="003E710B" w:rsidRDefault="219FFB83" w14:paraId="558F31D3" w14:textId="77777777">
      <w:pPr>
        <w:spacing w:before="120"/>
        <w:contextualSpacing/>
        <w:jc w:val="both"/>
        <w:rPr>
          <w:rFonts w:eastAsia="Calibri"/>
          <w:bCs/>
        </w:rPr>
      </w:pPr>
      <w:r>
        <w:rPr>
          <w:rFonts w:eastAsia="Calibri"/>
          <w:bCs/>
        </w:rPr>
        <w:t>Digital outreach was implemented primarily through UNDP Bosnia and Herzegovina channels and Zamisli2030-branded platforms. Over the full Programme period, 304 SDG2BiH-related social media posts were published on UNDP channels. In parallel, the Programme partners contributed targeted digital amplification through dedicated campaigns and paid promotion. Programme and partner reporting indicates a combined total of more than 1,500,000 impressions generated for flagship initiatives and key Programme messages. Due to differences in platform indicators and reporting methodologies, digital performance metrics are presented in aggregated form.</w:t>
      </w:r>
    </w:p>
    <w:p w:rsidRPr="003D7404" w:rsidR="071E7443" w:rsidP="003E710B" w:rsidRDefault="219FFB83" w14:paraId="71773E72" w14:textId="77777777">
      <w:pPr>
        <w:contextualSpacing/>
        <w:jc w:val="both"/>
        <w:rPr>
          <w:rFonts w:eastAsia="Calibri"/>
          <w:bCs/>
        </w:rPr>
      </w:pPr>
      <w:r>
        <w:rPr>
          <w:rFonts w:eastAsia="Calibri"/>
          <w:bCs/>
        </w:rPr>
        <w:t xml:space="preserve"> </w:t>
      </w:r>
    </w:p>
    <w:p w:rsidRPr="003D7404" w:rsidR="071E7443" w:rsidP="003E710B" w:rsidRDefault="219FFB83" w14:paraId="06A3909B" w14:textId="77777777">
      <w:pPr>
        <w:spacing w:before="120"/>
        <w:contextualSpacing/>
        <w:jc w:val="both"/>
        <w:rPr>
          <w:rFonts w:eastAsia="Calibri"/>
          <w:bCs/>
        </w:rPr>
      </w:pPr>
      <w:r>
        <w:rPr>
          <w:rFonts w:eastAsia="Calibri"/>
          <w:bCs/>
        </w:rPr>
        <w:t xml:space="preserve">Flagship initiatives played a central role in the </w:t>
      </w:r>
      <w:proofErr w:type="spellStart"/>
      <w:r>
        <w:rPr>
          <w:rFonts w:eastAsia="Calibri"/>
          <w:bCs/>
        </w:rPr>
        <w:t>Programme’s</w:t>
      </w:r>
      <w:proofErr w:type="spellEnd"/>
      <w:r>
        <w:rPr>
          <w:rFonts w:eastAsia="Calibri"/>
          <w:bCs/>
        </w:rPr>
        <w:t xml:space="preserve"> visibility strategy. SDG Week functioned as the primary joint UN visibility platform, bringing together UN agencies, institutions, civil society, academia, and the private sector under </w:t>
      </w:r>
      <w:r>
        <w:rPr>
          <w:rFonts w:eastAsia="Calibri"/>
          <w:bCs/>
        </w:rPr>
        <w:t>unified branding. Across the Programme period, SDG2BiH supported or contributed to more than 80 SDG Week events implemented nationwide, establishing SDG Week as a platform for coordinated, nationwide SDG-related outreach, public engagement, and cross-sector dialogue.</w:t>
      </w:r>
    </w:p>
    <w:p w:rsidRPr="003D7404" w:rsidR="071E7443" w:rsidP="003E710B" w:rsidRDefault="219FFB83" w14:paraId="4BEF4115" w14:textId="77777777">
      <w:pPr>
        <w:contextualSpacing/>
        <w:jc w:val="both"/>
        <w:rPr>
          <w:rFonts w:eastAsia="Calibri"/>
          <w:bCs/>
        </w:rPr>
      </w:pPr>
      <w:r>
        <w:rPr>
          <w:rFonts w:eastAsia="Calibri"/>
          <w:bCs/>
        </w:rPr>
        <w:t xml:space="preserve"> </w:t>
      </w:r>
    </w:p>
    <w:p w:rsidRPr="003D7404" w:rsidR="071E7443" w:rsidP="003E710B" w:rsidRDefault="219FFB83" w14:paraId="34A09401" w14:textId="77777777">
      <w:pPr>
        <w:spacing w:before="120"/>
        <w:contextualSpacing/>
        <w:jc w:val="both"/>
        <w:rPr>
          <w:rFonts w:eastAsia="Calibri"/>
          <w:bCs/>
        </w:rPr>
      </w:pPr>
      <w:r>
        <w:rPr>
          <w:rFonts w:eastAsia="Calibri"/>
          <w:bCs/>
        </w:rPr>
        <w:t>The SDG Business Pioneers Award represented a second major visibility pillar, promoting private sector engagement in sustainable development. Each Award cycle was supported by two dedicated visibility campaigns: (1) an outreach campaign aimed at attracting private sector applications, and (2) a promotional campaign highlighting finalists ahead of the Award ceremony. These campaigns were implemented annually through coordinated media outreach, digital communications, and audiovisual production. Visibility outputs included production of various communication products that promoted finalists (infographics, fact sheets, videos...), as well as highlights videos from each of the ceremonies, disseminated through Programme and partner channels.</w:t>
      </w:r>
    </w:p>
    <w:p w:rsidRPr="003D7404" w:rsidR="071E7443" w:rsidP="003E710B" w:rsidRDefault="219FFB83" w14:paraId="0F5AA7E2" w14:textId="77777777">
      <w:pPr>
        <w:contextualSpacing/>
        <w:jc w:val="both"/>
        <w:rPr>
          <w:rFonts w:eastAsia="Calibri"/>
          <w:bCs/>
        </w:rPr>
      </w:pPr>
      <w:r>
        <w:rPr>
          <w:rFonts w:eastAsia="Calibri"/>
          <w:bCs/>
        </w:rPr>
        <w:t xml:space="preserve"> </w:t>
      </w:r>
    </w:p>
    <w:p w:rsidR="071E7443" w:rsidP="003E710B" w:rsidRDefault="219FFB83" w14:paraId="23E74173" w14:textId="77777777">
      <w:pPr>
        <w:spacing w:before="120"/>
        <w:contextualSpacing/>
        <w:jc w:val="both"/>
        <w:rPr>
          <w:rFonts w:eastAsia="Calibri"/>
          <w:bCs/>
        </w:rPr>
      </w:pPr>
      <w:r>
        <w:rPr>
          <w:rFonts w:eastAsia="Calibri"/>
          <w:bCs/>
        </w:rPr>
        <w:t>Visibility was further strengthened through the engagement of Programme partners. Partner institutions and UN agencies contributed through co-branded events, thematic campaigns, and targeted communications aligned with their respective mandates, including initiatives related to gender equality, social inclusion, green transition, and economic transformation. Partner-led outreach complemented Programme-level visibility and expanded reach to sector-specific audiences.</w:t>
      </w:r>
    </w:p>
    <w:p w:rsidR="006A2D8E" w:rsidP="003E710B" w:rsidRDefault="006A2D8E" w14:paraId="099CD713" w14:textId="77777777">
      <w:pPr>
        <w:spacing w:before="120"/>
        <w:contextualSpacing/>
        <w:jc w:val="both"/>
        <w:rPr>
          <w:rFonts w:eastAsia="Calibri"/>
          <w:bCs/>
        </w:rPr>
      </w:pPr>
    </w:p>
    <w:p w:rsidRPr="00372F41" w:rsidR="00497833" w:rsidP="00497833" w:rsidRDefault="00497833" w14:paraId="738BEA46" w14:textId="738AF46F">
      <w:pPr>
        <w:pStyle w:val="NoSpacing"/>
        <w:jc w:val="both"/>
        <w:rPr>
          <w:lang w:eastAsia="bs-Latn-BA"/>
        </w:rPr>
      </w:pPr>
      <w:r w:rsidRPr="001827DD">
        <w:rPr>
          <w:lang w:eastAsia="bs-Latn-BA"/>
        </w:rPr>
        <w:t>In addition to Programme</w:t>
      </w:r>
      <w:r w:rsidRPr="001827DD">
        <w:rPr>
          <w:lang w:eastAsia="bs-Latn-BA"/>
        </w:rPr>
        <w:noBreakHyphen/>
      </w:r>
      <w:r w:rsidRPr="001827DD">
        <w:rPr>
          <w:lang w:eastAsia="bs-Latn-BA"/>
        </w:rPr>
        <w:t>wide visibility efforts, No Nation Fashion (NNF) significantly contributed to overall outreach through a series of high</w:t>
      </w:r>
      <w:r w:rsidRPr="001827DD">
        <w:rPr>
          <w:lang w:eastAsia="bs-Latn-BA"/>
        </w:rPr>
        <w:noBreakHyphen/>
      </w:r>
      <w:r w:rsidRPr="001827DD">
        <w:rPr>
          <w:lang w:eastAsia="bs-Latn-BA"/>
        </w:rPr>
        <w:t xml:space="preserve">profile events, regional </w:t>
      </w:r>
      <w:proofErr w:type="gramStart"/>
      <w:r w:rsidRPr="001827DD">
        <w:rPr>
          <w:lang w:eastAsia="bs-Latn-BA"/>
        </w:rPr>
        <w:t>engagements</w:t>
      </w:r>
      <w:proofErr w:type="gramEnd"/>
      <w:r w:rsidRPr="001827DD">
        <w:rPr>
          <w:lang w:eastAsia="bs-Latn-BA"/>
        </w:rPr>
        <w:t xml:space="preserve"> and targeted communication activities. NNF’s participation in EU Fashion Passport, The Story About Us, </w:t>
      </w:r>
      <w:proofErr w:type="spellStart"/>
      <w:r w:rsidRPr="001827DD">
        <w:rPr>
          <w:lang w:eastAsia="bs-Latn-BA"/>
        </w:rPr>
        <w:t>WeFair</w:t>
      </w:r>
      <w:proofErr w:type="spellEnd"/>
      <w:r w:rsidRPr="001827DD">
        <w:rPr>
          <w:lang w:eastAsia="bs-Latn-BA"/>
        </w:rPr>
        <w:t xml:space="preserve"> Linz/Austria, Belgrade Fashion Week and Sarajevo Fashion Week generated substantial public exposure across multiple audience groups, with solid media and social media interest and coverage (link: </w:t>
      </w:r>
      <w:hyperlink w:history="1" r:id="rId26">
        <w:r w:rsidRPr="001827DD">
          <w:rPr>
            <w:rStyle w:val="Hyperlink"/>
          </w:rPr>
          <w:t>https://www.facebook.com/reel/1554053779099052</w:t>
        </w:r>
      </w:hyperlink>
      <w:r w:rsidRPr="001827DD">
        <w:t>;</w:t>
      </w:r>
      <w:r w:rsidRPr="001827DD">
        <w:rPr>
          <w:lang w:eastAsia="bs-Latn-BA"/>
        </w:rPr>
        <w:t xml:space="preserve">). Visibility was further expanded through the promotion of the new NNF capsule collection, supported by an intensive multi-channel media campaign that included print magazines, online </w:t>
      </w:r>
      <w:proofErr w:type="gramStart"/>
      <w:r w:rsidRPr="001827DD">
        <w:rPr>
          <w:lang w:eastAsia="bs-Latn-BA"/>
        </w:rPr>
        <w:t>outlets</w:t>
      </w:r>
      <w:proofErr w:type="gramEnd"/>
      <w:r w:rsidRPr="001827DD">
        <w:rPr>
          <w:lang w:eastAsia="bs-Latn-BA"/>
        </w:rPr>
        <w:t xml:space="preserve"> and large LED façades on shopping </w:t>
      </w:r>
      <w:proofErr w:type="spellStart"/>
      <w:r w:rsidRPr="001827DD">
        <w:rPr>
          <w:lang w:eastAsia="bs-Latn-BA"/>
        </w:rPr>
        <w:t>centres</w:t>
      </w:r>
      <w:proofErr w:type="spellEnd"/>
      <w:r w:rsidRPr="001827DD">
        <w:rPr>
          <w:lang w:eastAsia="bs-Latn-BA"/>
        </w:rPr>
        <w:t xml:space="preserve">. This campaign showcased NNF’s inclusive design approach and amplified messages aligned with the Sustainable Development Goals, reinforcing the link between creative expression, responsible </w:t>
      </w:r>
      <w:proofErr w:type="gramStart"/>
      <w:r w:rsidRPr="001827DD">
        <w:rPr>
          <w:lang w:eastAsia="bs-Latn-BA"/>
        </w:rPr>
        <w:t>consumption</w:t>
      </w:r>
      <w:proofErr w:type="gramEnd"/>
      <w:r w:rsidRPr="001827DD">
        <w:rPr>
          <w:lang w:eastAsia="bs-Latn-BA"/>
        </w:rPr>
        <w:t xml:space="preserve"> and social inclusion. Through these combined efforts, NNF strengthened the overall reach of Programme communications and contributed to coherent visibility across local and regional platforms.</w:t>
      </w:r>
    </w:p>
    <w:p w:rsidRPr="00286866" w:rsidR="071E7443" w:rsidP="003E710B" w:rsidRDefault="219FFB83" w14:paraId="79C6A307" w14:textId="77777777">
      <w:pPr>
        <w:contextualSpacing/>
        <w:jc w:val="both"/>
        <w:rPr>
          <w:rFonts w:eastAsia="Calibri"/>
          <w:bCs/>
        </w:rPr>
      </w:pPr>
      <w:r>
        <w:rPr>
          <w:rFonts w:eastAsia="Calibri"/>
          <w:bCs/>
        </w:rPr>
        <w:t xml:space="preserve"> </w:t>
      </w:r>
    </w:p>
    <w:p w:rsidRPr="003D7404" w:rsidR="071E7443" w:rsidP="003E710B" w:rsidRDefault="219FFB83" w14:paraId="546943F8" w14:textId="77777777">
      <w:pPr>
        <w:spacing w:before="120"/>
        <w:contextualSpacing/>
        <w:jc w:val="both"/>
        <w:rPr>
          <w:rFonts w:eastAsia="Calibri"/>
          <w:bCs/>
        </w:rPr>
      </w:pPr>
      <w:r>
        <w:rPr>
          <w:rFonts w:eastAsia="Calibri"/>
          <w:bCs/>
        </w:rPr>
        <w:t xml:space="preserve">Additional visibility was achieved through participation in international policy processes and high-level events, including Bosnia and Herzegovina’s engagement in the High-Level Political Forum. Programme-supported visibility materials, including dedicated video content and event-related communications, contributed to international exposure of SDG </w:t>
      </w:r>
      <w:proofErr w:type="spellStart"/>
      <w:r>
        <w:rPr>
          <w:rFonts w:eastAsia="Calibri"/>
          <w:bCs/>
        </w:rPr>
        <w:t>localisation</w:t>
      </w:r>
      <w:proofErr w:type="spellEnd"/>
      <w:r>
        <w:rPr>
          <w:rFonts w:eastAsia="Calibri"/>
          <w:bCs/>
        </w:rPr>
        <w:t xml:space="preserve"> efforts.</w:t>
      </w:r>
    </w:p>
    <w:p w:rsidRPr="003D7404" w:rsidR="071E7443" w:rsidP="003E710B" w:rsidRDefault="219FFB83" w14:paraId="656167D2" w14:textId="77777777">
      <w:pPr>
        <w:contextualSpacing/>
        <w:jc w:val="both"/>
        <w:rPr>
          <w:rFonts w:eastAsia="Calibri"/>
          <w:bCs/>
        </w:rPr>
      </w:pPr>
      <w:r>
        <w:rPr>
          <w:rFonts w:eastAsia="Calibri"/>
          <w:bCs/>
        </w:rPr>
        <w:t xml:space="preserve"> </w:t>
      </w:r>
    </w:p>
    <w:p w:rsidRPr="003D7404" w:rsidR="002E1869" w:rsidP="003E710B" w:rsidRDefault="219FFB83" w14:paraId="6A078AB8" w14:textId="3B28E341">
      <w:pPr>
        <w:spacing w:before="120"/>
        <w:rPr>
          <w:rFonts w:asciiTheme="minorHAnsi" w:hAnsiTheme="minorHAnsi" w:cstheme="minorHAnsi"/>
          <w:bCs/>
          <w:sz w:val="24"/>
          <w:szCs w:val="24"/>
        </w:rPr>
      </w:pPr>
      <w:r>
        <w:rPr>
          <w:bCs/>
        </w:rPr>
        <w:t xml:space="preserve">All visibility activities applied joint UN branding and donor acknowledgment, in accordance with UNDP and donor visibility requirements, with a strong emphasis on co-visibility across UN agencies and partners delivering activities under common platforms. </w:t>
      </w:r>
      <w:bookmarkStart w:name="_Toc519243256" w:id="56"/>
      <w:bookmarkStart w:name="_Hlk14872621" w:id="57"/>
    </w:p>
    <w:p w:rsidRPr="003D7404" w:rsidR="00973E85" w:rsidP="00FA661A" w:rsidRDefault="64F588C8" w14:paraId="3E619D25" w14:textId="77777777">
      <w:pPr>
        <w:pStyle w:val="Heading1"/>
        <w:pBdr>
          <w:bottom w:val="single" w:color="0468B1" w:sz="6" w:space="1"/>
        </w:pBdr>
        <w:rPr>
          <w:rFonts w:asciiTheme="minorHAnsi" w:hAnsiTheme="minorHAnsi" w:cstheme="minorHAnsi"/>
          <w:bCs/>
          <w:color w:val="auto"/>
          <w:sz w:val="24"/>
          <w:szCs w:val="24"/>
        </w:rPr>
      </w:pPr>
      <w:bookmarkStart w:name="_Toc221887272" w:id="58"/>
      <w:r>
        <w:rPr>
          <w:rFonts w:asciiTheme="minorHAnsi" w:hAnsiTheme="minorHAnsi" w:cstheme="minorHAnsi"/>
          <w:bCs/>
          <w:color w:val="0468B1"/>
          <w:szCs w:val="24"/>
        </w:rPr>
        <w:t>Synergies with other interventions</w:t>
      </w:r>
      <w:bookmarkEnd w:id="56"/>
      <w:bookmarkEnd w:id="58"/>
    </w:p>
    <w:bookmarkEnd w:id="57"/>
    <w:p w:rsidRPr="003D7404" w:rsidR="00973E85" w:rsidP="00973E85" w:rsidRDefault="00973E85" w14:paraId="41D66849" w14:textId="77777777">
      <w:pPr>
        <w:rPr>
          <w:rFonts w:asciiTheme="minorHAnsi" w:hAnsiTheme="minorHAnsi" w:cstheme="minorHAnsi"/>
          <w:bCs/>
          <w:color w:val="FF0000"/>
        </w:rPr>
      </w:pPr>
    </w:p>
    <w:p w:rsidRPr="003D7404" w:rsidR="004F68B6" w:rsidP="00B33899" w:rsidRDefault="004F68B6" w14:paraId="596B9C2C"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The Programme closely cooperated with the UN Joint Programme on SDG Financing (2021-2023) that supported design of the SDG Financing Framework in BiH. Analytical work produced under the UN Joint Programme provided evidence-based inputs for SDG financing interventions that are supported under the Programme, including on potentials and importance for creating specific SDG financing instruments/schemes for SDG priority areas targeted and patient support.</w:t>
      </w:r>
    </w:p>
    <w:p w:rsidRPr="003D7404" w:rsidR="004F68B6" w:rsidP="00B33899" w:rsidRDefault="004F68B6" w14:paraId="10533428"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The Programme closely cooperated with the Green Economic Development (GED) Project – Phase III (2021-2024), financed by Sweden, especially in support to the private sector on energy efficiency measures to be linked to the circular economy initiatives under the Programme, </w:t>
      </w:r>
      <w:proofErr w:type="gramStart"/>
      <w:r>
        <w:rPr>
          <w:rFonts w:eastAsia="Times New Roman" w:asciiTheme="minorHAnsi" w:hAnsiTheme="minorHAnsi" w:cstheme="minorBidi"/>
          <w:bCs/>
        </w:rPr>
        <w:t>so as to</w:t>
      </w:r>
      <w:proofErr w:type="gramEnd"/>
      <w:r>
        <w:rPr>
          <w:rFonts w:eastAsia="Times New Roman" w:asciiTheme="minorHAnsi" w:hAnsiTheme="minorHAnsi" w:cstheme="minorBidi"/>
          <w:bCs/>
        </w:rPr>
        <w:t xml:space="preserve"> expand the outreach and impact of sustainability measures on the private sector in the country. </w:t>
      </w:r>
    </w:p>
    <w:p w:rsidRPr="003D7404" w:rsidR="00F728EE" w:rsidP="00B33899" w:rsidRDefault="00F728EE" w14:paraId="630492C9"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Close coordination was established with the Municipal Environmental Governance Project (MEG), funded by Switzerland, </w:t>
      </w:r>
      <w:proofErr w:type="gramStart"/>
      <w:r>
        <w:rPr>
          <w:rFonts w:eastAsia="Times New Roman" w:asciiTheme="minorHAnsi" w:hAnsiTheme="minorHAnsi" w:cstheme="minorBidi"/>
          <w:bCs/>
        </w:rPr>
        <w:t>Sweden</w:t>
      </w:r>
      <w:proofErr w:type="gramEnd"/>
      <w:r>
        <w:rPr>
          <w:rFonts w:eastAsia="Times New Roman" w:asciiTheme="minorHAnsi" w:hAnsiTheme="minorHAnsi" w:cstheme="minorBidi"/>
          <w:bCs/>
        </w:rPr>
        <w:t xml:space="preserve"> and the EU through promotion of e-citizen application as well as with the “Project for Improving Performance of Local Services (PIPLS) in BiH” supported by Sweden, with shared good government priorities underpinning the agenda for transformational change in local governance in particular.</w:t>
      </w:r>
    </w:p>
    <w:p w:rsidRPr="003D7404" w:rsidR="00464E7E" w:rsidP="00B33899" w:rsidRDefault="00910698" w14:paraId="418001F6"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The Programme continued with close contact and cooperation with other initiatives funded by Sweden in BiH like SERDA, </w:t>
      </w:r>
      <w:proofErr w:type="spellStart"/>
      <w:r>
        <w:rPr>
          <w:rFonts w:eastAsia="Times New Roman" w:asciiTheme="minorHAnsi" w:hAnsiTheme="minorHAnsi" w:cstheme="minorBidi"/>
          <w:bCs/>
        </w:rPr>
        <w:t>Mozaik</w:t>
      </w:r>
      <w:proofErr w:type="spellEnd"/>
      <w:r>
        <w:rPr>
          <w:rFonts w:eastAsia="Times New Roman" w:asciiTheme="minorHAnsi" w:hAnsiTheme="minorHAnsi" w:cstheme="minorBidi"/>
          <w:bCs/>
        </w:rPr>
        <w:t xml:space="preserve"> and </w:t>
      </w:r>
      <w:proofErr w:type="spellStart"/>
      <w:r>
        <w:rPr>
          <w:rFonts w:eastAsia="Times New Roman" w:asciiTheme="minorHAnsi" w:hAnsiTheme="minorHAnsi" w:cstheme="minorBidi"/>
          <w:bCs/>
        </w:rPr>
        <w:t>Kult</w:t>
      </w:r>
      <w:proofErr w:type="spellEnd"/>
      <w:r>
        <w:rPr>
          <w:rFonts w:eastAsia="Times New Roman" w:asciiTheme="minorHAnsi" w:hAnsiTheme="minorHAnsi" w:cstheme="minorBidi"/>
          <w:bCs/>
        </w:rPr>
        <w:t>.</w:t>
      </w:r>
    </w:p>
    <w:p w:rsidRPr="003D7404" w:rsidR="004F68B6" w:rsidP="00B33899" w:rsidRDefault="004F68B6" w14:paraId="66D80525"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 xml:space="preserve">The Programme established synergies with EU-funded projects EU4BusinessRecovery Project (2021-2023) and EU4AGRI-Recovery Project (2021-2023), both supporting the agri-food sector businesses in mitigating negative impact of COVID-19 on their business operations. The focus of the interventions is on introduction of sustainable business practices, business continuity and transition towards the circular economy </w:t>
      </w:r>
      <w:proofErr w:type="gramStart"/>
      <w:r>
        <w:rPr>
          <w:rFonts w:eastAsia="Times New Roman" w:asciiTheme="minorHAnsi" w:hAnsiTheme="minorHAnsi" w:cstheme="minorBidi"/>
          <w:bCs/>
        </w:rPr>
        <w:t>so as to</w:t>
      </w:r>
      <w:proofErr w:type="gramEnd"/>
      <w:r>
        <w:rPr>
          <w:rFonts w:eastAsia="Times New Roman" w:asciiTheme="minorHAnsi" w:hAnsiTheme="minorHAnsi" w:cstheme="minorBidi"/>
          <w:bCs/>
        </w:rPr>
        <w:t xml:space="preserve"> future-proof the businesses against possible crises. </w:t>
      </w:r>
    </w:p>
    <w:p w:rsidRPr="003D7404" w:rsidR="004F68B6" w:rsidP="007D3396" w:rsidRDefault="001266EF" w14:paraId="084A40ED" w14:textId="77777777">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With the Digital Transformation in Business Project (</w:t>
      </w:r>
      <w:proofErr w:type="spellStart"/>
      <w:r>
        <w:rPr>
          <w:rFonts w:eastAsia="Times New Roman" w:asciiTheme="minorHAnsi" w:hAnsiTheme="minorHAnsi" w:cstheme="minorBidi"/>
          <w:bCs/>
        </w:rPr>
        <w:t>DigitalBIZ</w:t>
      </w:r>
      <w:proofErr w:type="spellEnd"/>
      <w:r>
        <w:rPr>
          <w:rFonts w:eastAsia="Times New Roman" w:asciiTheme="minorHAnsi" w:hAnsiTheme="minorHAnsi" w:cstheme="minorBidi"/>
          <w:bCs/>
        </w:rPr>
        <w:t>) financed and implemented by UNDP, synergies were made in field of digital readiness assessments that are offered to all local governments and cantons that participate in the Programme.</w:t>
      </w:r>
    </w:p>
    <w:p w:rsidRPr="003D7404" w:rsidR="004F68B6" w:rsidP="00B33899" w:rsidRDefault="004F68B6" w14:paraId="23A96777" w14:textId="3FE3DF81">
      <w:pPr>
        <w:numPr>
          <w:ilvl w:val="0"/>
          <w:numId w:val="2"/>
        </w:numPr>
        <w:tabs>
          <w:tab w:val="left" w:pos="999"/>
        </w:tabs>
        <w:spacing w:before="120"/>
        <w:jc w:val="both"/>
        <w:rPr>
          <w:rFonts w:eastAsia="Times New Roman" w:asciiTheme="minorHAnsi" w:hAnsiTheme="minorHAnsi" w:cstheme="minorBidi"/>
          <w:bCs/>
        </w:rPr>
      </w:pPr>
      <w:r>
        <w:rPr>
          <w:rFonts w:eastAsia="Times New Roman" w:asciiTheme="minorHAnsi" w:hAnsiTheme="minorHAnsi" w:cstheme="minorBidi"/>
          <w:bCs/>
        </w:rPr>
        <w:t>UN Women Project on women’s economic empowerment in BiH – rebuilding better, funded by United Kingdom, fed in relevant knowledge related to building growth and resilience of women-owned businesses in BiH. Previous UN Women work, as well as insights from the UN Women Strategic Note 2021 – 2025 (</w:t>
      </w:r>
      <w:proofErr w:type="gramStart"/>
      <w:r>
        <w:rPr>
          <w:rFonts w:eastAsia="Times New Roman" w:asciiTheme="minorHAnsi" w:hAnsiTheme="minorHAnsi" w:cstheme="minorBidi"/>
          <w:bCs/>
        </w:rPr>
        <w:t>in particular Impact</w:t>
      </w:r>
      <w:proofErr w:type="gramEnd"/>
      <w:r>
        <w:rPr>
          <w:rFonts w:eastAsia="Times New Roman" w:asciiTheme="minorHAnsi" w:hAnsiTheme="minorHAnsi" w:cstheme="minorBidi"/>
          <w:bCs/>
        </w:rPr>
        <w:t xml:space="preserve"> 2, which focuses on improving government capacities to promote employment policies that enhance women’s access to decent work and promote income security, as well as women owned businesses and women entrepreneurs strengthened capacities and resilience) will inform and complement the envisaged activities of the Programme. </w:t>
      </w:r>
    </w:p>
    <w:p w:rsidR="00AA0281" w:rsidP="00F5292C" w:rsidRDefault="00AA0281" w14:paraId="4E8D9E3F" w14:textId="77777777">
      <w:pPr>
        <w:spacing w:line="259" w:lineRule="auto"/>
        <w:rPr>
          <w:rFonts w:eastAsia="Calibri"/>
          <w:color w:val="0468B1"/>
        </w:rPr>
      </w:pPr>
      <w:bookmarkStart w:name="_Toc221887273" w:id="59"/>
      <w:r>
        <w:rPr>
          <w:rFonts w:eastAsia="Times New Roman" w:asciiTheme="minorHAnsi" w:hAnsiTheme="minorHAnsi" w:cstheme="minorBidi"/>
        </w:rPr>
        <w:br w:type="page"/>
      </w:r>
    </w:p>
    <w:p w:rsidR="00AA0281" w:rsidP="00F5292C" w:rsidRDefault="00AA0281" w14:paraId="60FFFF9E" w14:textId="77777777">
      <w:pPr>
        <w:spacing w:line="259" w:lineRule="auto"/>
        <w:rPr>
          <w:rFonts w:eastAsia="Calibri"/>
          <w:color w:val="0468B1"/>
        </w:rPr>
        <w:sectPr w:rsidR="00AA0281" w:rsidSect="001A4C2E">
          <w:type w:val="continuous"/>
          <w:pgSz w:w="12240" w:h="15840" w:orient="portrait"/>
          <w:pgMar w:top="720" w:right="720" w:bottom="720" w:left="720" w:header="720" w:footer="720" w:gutter="0"/>
          <w:cols w:space="720"/>
          <w:docGrid w:linePitch="360"/>
        </w:sectPr>
      </w:pPr>
    </w:p>
    <w:p w:rsidRPr="00113878" w:rsidR="00401A8B" w:rsidP="00113878" w:rsidRDefault="6410FDBC" w14:paraId="6BB507CC" w14:textId="7AA607FE">
      <w:pPr>
        <w:pStyle w:val="Heading1"/>
        <w:pBdr>
          <w:bottom w:val="single" w:color="0468B1" w:sz="6" w:space="1"/>
        </w:pBdr>
        <w:rPr>
          <w:rFonts w:asciiTheme="minorHAnsi" w:hAnsiTheme="minorHAnsi" w:cstheme="minorHAnsi"/>
          <w:b/>
          <w:color w:val="0468B1"/>
          <w:szCs w:val="24"/>
        </w:rPr>
      </w:pPr>
      <w:r w:rsidRPr="00113878">
        <w:rPr>
          <w:rFonts w:asciiTheme="minorHAnsi" w:hAnsiTheme="minorHAnsi" w:cstheme="minorHAnsi"/>
          <w:b/>
          <w:color w:val="0468B1"/>
          <w:szCs w:val="24"/>
        </w:rPr>
        <w:t>Financial overview</w:t>
      </w:r>
      <w:bookmarkEnd w:id="59"/>
      <w:r w:rsidRPr="00113878">
        <w:rPr>
          <w:rFonts w:asciiTheme="minorHAnsi" w:hAnsiTheme="minorHAnsi" w:cstheme="minorHAnsi"/>
          <w:b/>
          <w:color w:val="0468B1"/>
          <w:szCs w:val="24"/>
        </w:rPr>
        <w:t xml:space="preserve"> </w:t>
      </w:r>
    </w:p>
    <w:p w:rsidRPr="006E0CB0" w:rsidR="00C55A38" w:rsidP="00920EE1" w:rsidRDefault="00C55A38" w14:paraId="5D001848" w14:textId="77777777">
      <w:pPr>
        <w:ind w:left="450" w:right="180"/>
        <w:jc w:val="both"/>
        <w:rPr>
          <w:rFonts w:eastAsia="Times New Roman" w:asciiTheme="minorHAnsi" w:hAnsiTheme="minorHAnsi" w:cstheme="minorHAnsi"/>
          <w:color w:val="0F1115"/>
        </w:rPr>
      </w:pPr>
      <w:r w:rsidRPr="006E0CB0">
        <w:rPr>
          <w:rFonts w:eastAsia="Times New Roman" w:asciiTheme="minorHAnsi" w:hAnsiTheme="minorHAnsi" w:cstheme="minorHAnsi"/>
          <w:color w:val="0F1115"/>
        </w:rPr>
        <w:t>With the implementation phase formally concluded on 28 February 2026, all major programmatic components have been fully realized. Deliverables across state, entity, cantonal, and local levels have been completed within the planned timeframe, while all financial obligations have been settled prior to initiating final closure, ensuring a smooth transition into the consolidation phase.</w:t>
      </w:r>
    </w:p>
    <w:p w:rsidR="00C55A38" w:rsidP="00920EE1" w:rsidRDefault="00C55A38" w14:paraId="67B065A9" w14:textId="0F4D0CAF">
      <w:pPr>
        <w:ind w:left="450" w:right="180"/>
        <w:jc w:val="both"/>
        <w:rPr>
          <w:u w:val="single"/>
        </w:rPr>
      </w:pPr>
      <w:r w:rsidRPr="006E0CB0">
        <w:rPr>
          <w:rFonts w:asciiTheme="minorHAnsi" w:hAnsiTheme="minorHAnsi" w:cstheme="minorHAnsi"/>
          <w:color w:val="0F1115"/>
          <w:kern w:val="2"/>
          <w14:ligatures w14:val="standardContextual"/>
        </w:rPr>
        <w:t xml:space="preserve">All figures presented </w:t>
      </w:r>
      <w:r w:rsidR="009914F9">
        <w:rPr>
          <w:rFonts w:asciiTheme="minorHAnsi" w:hAnsiTheme="minorHAnsi" w:cstheme="minorHAnsi"/>
          <w:color w:val="0F1115"/>
          <w:kern w:val="2"/>
          <w14:ligatures w14:val="standardContextual"/>
        </w:rPr>
        <w:t xml:space="preserve">below </w:t>
      </w:r>
      <w:r w:rsidRPr="006E0CB0">
        <w:rPr>
          <w:rFonts w:asciiTheme="minorHAnsi" w:hAnsiTheme="minorHAnsi" w:cstheme="minorHAnsi"/>
          <w:color w:val="0F1115"/>
          <w:kern w:val="2"/>
          <w14:ligatures w14:val="standardContextual"/>
        </w:rPr>
        <w:t xml:space="preserve">remain preliminary and are provided solely to present an overview of expenditures during </w:t>
      </w:r>
      <w:proofErr w:type="spellStart"/>
      <w:r w:rsidRPr="006E0CB0">
        <w:rPr>
          <w:rFonts w:asciiTheme="minorHAnsi" w:hAnsiTheme="minorHAnsi" w:cstheme="minorHAnsi"/>
          <w:color w:val="0F1115"/>
          <w:kern w:val="2"/>
          <w14:ligatures w14:val="standardContextual"/>
        </w:rPr>
        <w:t>programme</w:t>
      </w:r>
      <w:proofErr w:type="spellEnd"/>
      <w:r w:rsidRPr="006E0CB0">
        <w:rPr>
          <w:rFonts w:asciiTheme="minorHAnsi" w:hAnsiTheme="minorHAnsi" w:cstheme="minorHAnsi"/>
          <w:color w:val="0F1115"/>
          <w:kern w:val="2"/>
          <w14:ligatures w14:val="standardContextual"/>
        </w:rPr>
        <w:t xml:space="preserve"> implementation. Comprehensive financial reporting will be prepared once the consolidation of financial records has been completed, encompassing reconciliation, possible adjustments, and the verification of potential outstanding obligations</w:t>
      </w:r>
      <w:r w:rsidRPr="00733529">
        <w:rPr>
          <w:u w:val="single"/>
        </w:rPr>
        <w:t>.</w:t>
      </w:r>
    </w:p>
    <w:p w:rsidRPr="006A0914" w:rsidR="00F161A2" w:rsidP="00C55A38" w:rsidRDefault="00F161A2" w14:paraId="585B37DE" w14:textId="77777777">
      <w:pPr>
        <w:ind w:left="450" w:right="180"/>
      </w:pPr>
    </w:p>
    <w:p w:rsidRPr="00066031" w:rsidR="00066031" w:rsidP="00066031" w:rsidRDefault="00066031" w14:paraId="0C9F90EE" w14:textId="77777777">
      <w:pPr>
        <w:spacing w:line="300" w:lineRule="atLeast"/>
        <w:ind w:left="450" w:right="180"/>
        <w:jc w:val="center"/>
        <w:rPr>
          <w:rFonts w:eastAsia="Times New Roman" w:asciiTheme="minorHAnsi" w:hAnsiTheme="minorHAnsi" w:cstheme="minorHAnsi"/>
          <w:b/>
          <w:bCs/>
        </w:rPr>
      </w:pPr>
      <w:r w:rsidRPr="00066031">
        <w:rPr>
          <w:rFonts w:eastAsia="Times New Roman" w:asciiTheme="minorHAnsi" w:hAnsiTheme="minorHAnsi" w:cstheme="minorHAnsi"/>
          <w:b/>
          <w:bCs/>
        </w:rPr>
        <w:t>SDG2BIH - Preliminary expenditures overview</w:t>
      </w:r>
    </w:p>
    <w:p w:rsidR="00920EE1" w:rsidP="006E0CB0" w:rsidRDefault="00920EE1" w14:paraId="5B98C867" w14:textId="77777777">
      <w:pPr>
        <w:shd w:val="clear" w:color="auto" w:fill="FFFFFF"/>
        <w:ind w:left="450" w:right="180"/>
        <w:rPr>
          <w:rFonts w:eastAsia="Times New Roman"/>
          <w:b/>
          <w:bCs/>
          <w:color w:val="0F1115"/>
        </w:rPr>
      </w:pPr>
    </w:p>
    <w:p w:rsidRPr="006E0CB0" w:rsidR="006E0CB0" w:rsidP="006E0CB0" w:rsidRDefault="006E0CB0" w14:paraId="4775A5D4" w14:textId="2E3FAB3B">
      <w:pPr>
        <w:shd w:val="clear" w:color="auto" w:fill="FFFFFF"/>
        <w:ind w:left="450" w:right="180"/>
        <w:rPr>
          <w:rFonts w:eastAsia="Times New Roman"/>
          <w:b/>
          <w:bCs/>
          <w:color w:val="0F1115"/>
        </w:rPr>
      </w:pPr>
      <w:r w:rsidRPr="006E0CB0">
        <w:rPr>
          <w:rFonts w:eastAsia="Times New Roman"/>
          <w:b/>
          <w:bCs/>
          <w:color w:val="0F1115"/>
        </w:rPr>
        <w:t xml:space="preserve">Table </w:t>
      </w:r>
      <w:r w:rsidR="00D114AA">
        <w:rPr>
          <w:rFonts w:eastAsia="Times New Roman"/>
          <w:b/>
          <w:bCs/>
          <w:color w:val="0F1115"/>
        </w:rPr>
        <w:t>1</w:t>
      </w:r>
      <w:r w:rsidRPr="006E0CB0">
        <w:rPr>
          <w:rFonts w:eastAsia="Times New Roman"/>
          <w:b/>
          <w:bCs/>
          <w:color w:val="0F1115"/>
        </w:rPr>
        <w:t xml:space="preserve">:  Overall Financial Utilization of </w:t>
      </w:r>
      <w:r w:rsidR="003A6F73">
        <w:rPr>
          <w:rFonts w:eastAsia="Times New Roman"/>
          <w:b/>
          <w:bCs/>
          <w:color w:val="0F1115"/>
        </w:rPr>
        <w:t>Programme Funds</w:t>
      </w:r>
    </w:p>
    <w:tbl>
      <w:tblPr>
        <w:tblW w:w="13834" w:type="dxa"/>
        <w:tblInd w:w="355" w:type="dxa"/>
        <w:tblLayout w:type="fixed"/>
        <w:tblLook w:val="04A0" w:firstRow="1" w:lastRow="0" w:firstColumn="1" w:lastColumn="0" w:noHBand="0" w:noVBand="1"/>
      </w:tblPr>
      <w:tblGrid>
        <w:gridCol w:w="1800"/>
        <w:gridCol w:w="1530"/>
        <w:gridCol w:w="1710"/>
        <w:gridCol w:w="1620"/>
        <w:gridCol w:w="1350"/>
        <w:gridCol w:w="1980"/>
        <w:gridCol w:w="1800"/>
        <w:gridCol w:w="2044"/>
      </w:tblGrid>
      <w:tr w:rsidRPr="006E0CB0" w:rsidR="00113878" w:rsidTr="00C07325" w14:paraId="4F6307BD" w14:textId="77777777">
        <w:trPr>
          <w:trHeight w:val="618"/>
        </w:trPr>
        <w:tc>
          <w:tcPr>
            <w:tcW w:w="1800" w:type="dxa"/>
            <w:tcBorders>
              <w:top w:val="single" w:color="auto" w:sz="4" w:space="0"/>
              <w:left w:val="single" w:color="auto" w:sz="4" w:space="0"/>
              <w:bottom w:val="single" w:color="auto" w:sz="4" w:space="0"/>
              <w:right w:val="single" w:color="auto" w:sz="4" w:space="0"/>
            </w:tcBorders>
            <w:shd w:val="clear" w:color="000000" w:fill="8EA9DB"/>
            <w:vAlign w:val="bottom"/>
            <w:hideMark/>
          </w:tcPr>
          <w:p w:rsidRPr="006E0CB0" w:rsidR="006E0CB0" w:rsidP="006E0CB0" w:rsidRDefault="006E0CB0" w14:paraId="2C906484" w14:textId="77777777">
            <w:pPr>
              <w:ind w:left="450" w:right="180"/>
              <w:jc w:val="center"/>
              <w:rPr>
                <w:rFonts w:eastAsia="Times New Roman"/>
                <w:color w:val="000000"/>
                <w:sz w:val="20"/>
                <w:szCs w:val="20"/>
              </w:rPr>
            </w:pPr>
            <w:r w:rsidRPr="006E0CB0">
              <w:rPr>
                <w:rFonts w:eastAsia="Times New Roman"/>
                <w:color w:val="000000"/>
                <w:sz w:val="20"/>
                <w:szCs w:val="20"/>
              </w:rPr>
              <w:t>Income from SIDA</w:t>
            </w:r>
          </w:p>
        </w:tc>
        <w:tc>
          <w:tcPr>
            <w:tcW w:w="1530" w:type="dxa"/>
            <w:tcBorders>
              <w:top w:val="single" w:color="auto" w:sz="4" w:space="0"/>
              <w:left w:val="nil"/>
              <w:bottom w:val="single" w:color="auto" w:sz="4" w:space="0"/>
              <w:right w:val="single" w:color="auto" w:sz="4" w:space="0"/>
            </w:tcBorders>
            <w:shd w:val="clear" w:color="000000" w:fill="8EA9DB"/>
            <w:vAlign w:val="bottom"/>
            <w:hideMark/>
          </w:tcPr>
          <w:p w:rsidRPr="006E0CB0" w:rsidR="006E0CB0" w:rsidP="00C07325" w:rsidRDefault="006E0CB0" w14:paraId="3A6CD9D8" w14:textId="27C1E2E5">
            <w:pPr>
              <w:ind w:right="60"/>
              <w:jc w:val="center"/>
              <w:rPr>
                <w:rFonts w:eastAsia="Times New Roman"/>
                <w:color w:val="000000"/>
                <w:sz w:val="20"/>
                <w:szCs w:val="20"/>
              </w:rPr>
            </w:pPr>
            <w:r w:rsidRPr="006E0CB0">
              <w:rPr>
                <w:rFonts w:eastAsia="Times New Roman"/>
                <w:color w:val="000000"/>
                <w:sz w:val="20"/>
                <w:szCs w:val="20"/>
              </w:rPr>
              <w:t>Date of installment</w:t>
            </w:r>
          </w:p>
        </w:tc>
        <w:tc>
          <w:tcPr>
            <w:tcW w:w="1710" w:type="dxa"/>
            <w:tcBorders>
              <w:top w:val="single" w:color="auto" w:sz="4" w:space="0"/>
              <w:left w:val="nil"/>
              <w:bottom w:val="single" w:color="auto" w:sz="4" w:space="0"/>
              <w:right w:val="single" w:color="auto" w:sz="4" w:space="0"/>
            </w:tcBorders>
            <w:shd w:val="clear" w:color="000000" w:fill="8EA9DB"/>
            <w:vAlign w:val="bottom"/>
            <w:hideMark/>
          </w:tcPr>
          <w:p w:rsidRPr="006E0CB0" w:rsidR="006E0CB0" w:rsidP="006E0CB0" w:rsidRDefault="006E0CB0" w14:paraId="7CEE0EA7" w14:textId="77777777">
            <w:pPr>
              <w:ind w:left="450" w:right="180"/>
              <w:jc w:val="center"/>
              <w:rPr>
                <w:rFonts w:eastAsia="Times New Roman"/>
                <w:color w:val="000000"/>
                <w:sz w:val="20"/>
                <w:szCs w:val="20"/>
              </w:rPr>
            </w:pPr>
            <w:r w:rsidRPr="006E0CB0">
              <w:rPr>
                <w:rFonts w:eastAsia="Times New Roman"/>
                <w:color w:val="000000"/>
                <w:sz w:val="20"/>
                <w:szCs w:val="20"/>
              </w:rPr>
              <w:t>Value of installment in SEK</w:t>
            </w:r>
          </w:p>
        </w:tc>
        <w:tc>
          <w:tcPr>
            <w:tcW w:w="1620" w:type="dxa"/>
            <w:tcBorders>
              <w:top w:val="single" w:color="auto" w:sz="4" w:space="0"/>
              <w:left w:val="nil"/>
              <w:bottom w:val="single" w:color="auto" w:sz="4" w:space="0"/>
              <w:right w:val="single" w:color="auto" w:sz="4" w:space="0"/>
            </w:tcBorders>
            <w:shd w:val="clear" w:color="000000" w:fill="8EA9DB"/>
            <w:vAlign w:val="bottom"/>
            <w:hideMark/>
          </w:tcPr>
          <w:p w:rsidRPr="006E0CB0" w:rsidR="006E0CB0" w:rsidP="006E0CB0" w:rsidRDefault="006E0CB0" w14:paraId="53B51F0B" w14:textId="77777777">
            <w:pPr>
              <w:ind w:left="450" w:right="180"/>
              <w:jc w:val="center"/>
              <w:rPr>
                <w:rFonts w:eastAsia="Times New Roman"/>
                <w:color w:val="000000"/>
                <w:sz w:val="20"/>
                <w:szCs w:val="20"/>
              </w:rPr>
            </w:pPr>
            <w:r w:rsidRPr="006E0CB0">
              <w:rPr>
                <w:rFonts w:eastAsia="Times New Roman"/>
                <w:color w:val="000000"/>
                <w:sz w:val="20"/>
                <w:szCs w:val="20"/>
              </w:rPr>
              <w:t>Value of installment in USD</w:t>
            </w:r>
          </w:p>
        </w:tc>
        <w:tc>
          <w:tcPr>
            <w:tcW w:w="1350" w:type="dxa"/>
            <w:tcBorders>
              <w:top w:val="single" w:color="auto" w:sz="4" w:space="0"/>
              <w:left w:val="nil"/>
              <w:bottom w:val="single" w:color="auto" w:sz="4" w:space="0"/>
              <w:right w:val="single" w:color="auto" w:sz="4" w:space="0"/>
            </w:tcBorders>
            <w:shd w:val="clear" w:color="000000" w:fill="8EA9DB"/>
            <w:vAlign w:val="bottom"/>
            <w:hideMark/>
          </w:tcPr>
          <w:p w:rsidRPr="006E0CB0" w:rsidR="006E0CB0" w:rsidP="006E0CB0" w:rsidRDefault="006E0CB0" w14:paraId="6674C4EE" w14:textId="77777777">
            <w:pPr>
              <w:ind w:left="450" w:right="180"/>
              <w:jc w:val="center"/>
              <w:rPr>
                <w:rFonts w:eastAsia="Times New Roman"/>
                <w:color w:val="000000"/>
                <w:sz w:val="20"/>
                <w:szCs w:val="20"/>
              </w:rPr>
            </w:pPr>
            <w:r w:rsidRPr="006E0CB0">
              <w:rPr>
                <w:rFonts w:eastAsia="Times New Roman"/>
                <w:color w:val="000000"/>
                <w:sz w:val="20"/>
                <w:szCs w:val="20"/>
              </w:rPr>
              <w:t>Year</w:t>
            </w:r>
          </w:p>
        </w:tc>
        <w:tc>
          <w:tcPr>
            <w:tcW w:w="1980" w:type="dxa"/>
            <w:tcBorders>
              <w:top w:val="single" w:color="auto" w:sz="4" w:space="0"/>
              <w:left w:val="nil"/>
              <w:bottom w:val="single" w:color="auto" w:sz="4" w:space="0"/>
              <w:right w:val="single" w:color="auto" w:sz="4" w:space="0"/>
            </w:tcBorders>
            <w:shd w:val="clear" w:color="000000" w:fill="8EA9DB"/>
            <w:vAlign w:val="bottom"/>
            <w:hideMark/>
          </w:tcPr>
          <w:p w:rsidRPr="006E0CB0" w:rsidR="006E0CB0" w:rsidP="00C07325" w:rsidRDefault="006E0CB0" w14:paraId="28B3D9CB" w14:textId="77777777">
            <w:pPr>
              <w:ind w:right="180" w:hanging="20"/>
              <w:jc w:val="center"/>
              <w:rPr>
                <w:rFonts w:eastAsia="Times New Roman"/>
                <w:color w:val="000000"/>
                <w:sz w:val="20"/>
                <w:szCs w:val="20"/>
              </w:rPr>
            </w:pPr>
            <w:r w:rsidRPr="006E0CB0">
              <w:rPr>
                <w:rFonts w:eastAsia="Times New Roman"/>
                <w:color w:val="000000"/>
                <w:sz w:val="20"/>
                <w:szCs w:val="20"/>
              </w:rPr>
              <w:t>Expenses per year in USD </w:t>
            </w:r>
            <w:proofErr w:type="spellStart"/>
            <w:r w:rsidRPr="006E0CB0">
              <w:rPr>
                <w:rFonts w:eastAsia="Times New Roman"/>
                <w:color w:val="000000"/>
                <w:sz w:val="20"/>
                <w:szCs w:val="20"/>
              </w:rPr>
              <w:t>Sida</w:t>
            </w:r>
            <w:proofErr w:type="spellEnd"/>
            <w:r w:rsidRPr="006E0CB0">
              <w:rPr>
                <w:rFonts w:eastAsia="Times New Roman"/>
                <w:color w:val="000000"/>
                <w:sz w:val="20"/>
                <w:szCs w:val="20"/>
              </w:rPr>
              <w:t xml:space="preserve"> financing</w:t>
            </w:r>
          </w:p>
        </w:tc>
        <w:tc>
          <w:tcPr>
            <w:tcW w:w="1800" w:type="dxa"/>
            <w:tcBorders>
              <w:top w:val="single" w:color="auto" w:sz="4" w:space="0"/>
              <w:left w:val="nil"/>
              <w:bottom w:val="single" w:color="auto" w:sz="4" w:space="0"/>
              <w:right w:val="single" w:color="auto" w:sz="4" w:space="0"/>
            </w:tcBorders>
            <w:shd w:val="clear" w:color="000000" w:fill="8EAADB"/>
            <w:vAlign w:val="bottom"/>
            <w:hideMark/>
          </w:tcPr>
          <w:p w:rsidRPr="006E0CB0" w:rsidR="006E0CB0" w:rsidP="00C07325" w:rsidRDefault="006E0CB0" w14:paraId="16B719D7" w14:textId="542A3D63">
            <w:pPr>
              <w:ind w:left="-20" w:right="-22" w:firstLine="20"/>
              <w:jc w:val="center"/>
              <w:rPr>
                <w:rFonts w:eastAsia="Times New Roman"/>
                <w:color w:val="000000"/>
                <w:sz w:val="20"/>
                <w:szCs w:val="20"/>
              </w:rPr>
            </w:pPr>
            <w:r w:rsidRPr="006E0CB0">
              <w:rPr>
                <w:rFonts w:eastAsia="Times New Roman"/>
                <w:color w:val="000000"/>
                <w:sz w:val="20"/>
                <w:szCs w:val="20"/>
              </w:rPr>
              <w:t>Expenses per year in USD Co- financing</w:t>
            </w:r>
          </w:p>
        </w:tc>
        <w:tc>
          <w:tcPr>
            <w:tcW w:w="2044" w:type="dxa"/>
            <w:tcBorders>
              <w:top w:val="single" w:color="auto" w:sz="4" w:space="0"/>
              <w:left w:val="nil"/>
              <w:bottom w:val="single" w:color="auto" w:sz="4" w:space="0"/>
              <w:right w:val="single" w:color="auto" w:sz="4" w:space="0"/>
            </w:tcBorders>
            <w:shd w:val="clear" w:color="000000" w:fill="8EAADB"/>
            <w:vAlign w:val="bottom"/>
            <w:hideMark/>
          </w:tcPr>
          <w:p w:rsidRPr="006E0CB0" w:rsidR="006E0CB0" w:rsidP="00C07325" w:rsidRDefault="006E0CB0" w14:paraId="0966FF76" w14:textId="7381E2C4">
            <w:pPr>
              <w:ind w:left="450" w:hanging="378"/>
              <w:jc w:val="center"/>
              <w:rPr>
                <w:rFonts w:eastAsia="Times New Roman"/>
                <w:color w:val="000000"/>
                <w:sz w:val="20"/>
                <w:szCs w:val="20"/>
              </w:rPr>
            </w:pPr>
            <w:r w:rsidRPr="006E0CB0">
              <w:rPr>
                <w:rFonts w:eastAsia="Times New Roman"/>
                <w:color w:val="000000"/>
                <w:sz w:val="20"/>
                <w:szCs w:val="20"/>
              </w:rPr>
              <w:t>Total expenses per year</w:t>
            </w:r>
          </w:p>
        </w:tc>
      </w:tr>
      <w:tr w:rsidRPr="006E0CB0" w:rsidR="006E0CB0" w:rsidTr="00C07325" w14:paraId="0CE5BFDC" w14:textId="77777777">
        <w:trPr>
          <w:trHeight w:val="388"/>
        </w:trPr>
        <w:tc>
          <w:tcPr>
            <w:tcW w:w="1800" w:type="dxa"/>
            <w:tcBorders>
              <w:top w:val="nil"/>
              <w:left w:val="single" w:color="auto" w:sz="4" w:space="0"/>
              <w:bottom w:val="single" w:color="auto" w:sz="4" w:space="0"/>
              <w:right w:val="single" w:color="auto" w:sz="4" w:space="0"/>
            </w:tcBorders>
            <w:vAlign w:val="bottom"/>
            <w:hideMark/>
          </w:tcPr>
          <w:p w:rsidRPr="006E0CB0" w:rsidR="006E0CB0" w:rsidP="00C07325" w:rsidRDefault="006E0CB0" w14:paraId="252CCE81" w14:textId="77777777">
            <w:pPr>
              <w:ind w:left="245" w:right="50" w:hanging="90"/>
              <w:rPr>
                <w:rFonts w:eastAsia="Times New Roman"/>
                <w:sz w:val="20"/>
                <w:szCs w:val="20"/>
              </w:rPr>
            </w:pPr>
            <w:r w:rsidRPr="006E0CB0">
              <w:rPr>
                <w:rFonts w:eastAsia="Times New Roman"/>
                <w:sz w:val="20"/>
                <w:szCs w:val="20"/>
              </w:rPr>
              <w:t>1st Installment</w:t>
            </w:r>
          </w:p>
        </w:tc>
        <w:tc>
          <w:tcPr>
            <w:tcW w:w="1530" w:type="dxa"/>
            <w:tcBorders>
              <w:top w:val="nil"/>
              <w:left w:val="nil"/>
              <w:bottom w:val="single" w:color="auto" w:sz="4" w:space="0"/>
              <w:right w:val="single" w:color="auto" w:sz="4" w:space="0"/>
            </w:tcBorders>
            <w:noWrap/>
            <w:vAlign w:val="bottom"/>
            <w:hideMark/>
          </w:tcPr>
          <w:p w:rsidRPr="006E0CB0" w:rsidR="006E0CB0" w:rsidP="00C07325" w:rsidRDefault="006E0CB0" w14:paraId="42FAF378" w14:textId="77777777">
            <w:pPr>
              <w:ind w:left="180" w:right="180" w:hanging="90"/>
              <w:jc w:val="center"/>
              <w:rPr>
                <w:rFonts w:eastAsia="Times New Roman"/>
                <w:color w:val="000000"/>
                <w:sz w:val="20"/>
                <w:szCs w:val="20"/>
              </w:rPr>
            </w:pPr>
            <w:r w:rsidRPr="006E0CB0">
              <w:rPr>
                <w:rFonts w:eastAsia="Times New Roman"/>
                <w:color w:val="000000"/>
                <w:sz w:val="20"/>
                <w:szCs w:val="20"/>
              </w:rPr>
              <w:t>6/3/2022</w:t>
            </w:r>
          </w:p>
        </w:tc>
        <w:tc>
          <w:tcPr>
            <w:tcW w:w="1710" w:type="dxa"/>
            <w:tcBorders>
              <w:top w:val="nil"/>
              <w:left w:val="nil"/>
              <w:bottom w:val="single" w:color="auto" w:sz="4" w:space="0"/>
              <w:right w:val="single" w:color="auto" w:sz="4" w:space="0"/>
            </w:tcBorders>
            <w:vAlign w:val="bottom"/>
            <w:hideMark/>
          </w:tcPr>
          <w:p w:rsidRPr="006E0CB0" w:rsidR="006E0CB0" w:rsidP="00C07325" w:rsidRDefault="006E0CB0" w14:paraId="305B1CCF" w14:textId="77777777">
            <w:pPr>
              <w:ind w:left="81"/>
              <w:jc w:val="right"/>
              <w:rPr>
                <w:rFonts w:eastAsia="Times New Roman"/>
                <w:sz w:val="20"/>
                <w:szCs w:val="20"/>
              </w:rPr>
            </w:pPr>
            <w:r w:rsidRPr="006E0CB0">
              <w:rPr>
                <w:rFonts w:eastAsia="Times New Roman"/>
                <w:sz w:val="20"/>
                <w:szCs w:val="20"/>
              </w:rPr>
              <w:t>10,000,000.00</w:t>
            </w:r>
          </w:p>
        </w:tc>
        <w:tc>
          <w:tcPr>
            <w:tcW w:w="1620" w:type="dxa"/>
            <w:tcBorders>
              <w:top w:val="nil"/>
              <w:left w:val="nil"/>
              <w:bottom w:val="single" w:color="auto" w:sz="4" w:space="0"/>
              <w:right w:val="single" w:color="auto" w:sz="4" w:space="0"/>
            </w:tcBorders>
            <w:vAlign w:val="bottom"/>
            <w:hideMark/>
          </w:tcPr>
          <w:p w:rsidRPr="006E0CB0" w:rsidR="006E0CB0" w:rsidP="00C07325" w:rsidRDefault="006E0CB0" w14:paraId="326CFF5A" w14:textId="77777777">
            <w:pPr>
              <w:ind w:left="70" w:right="-18"/>
              <w:jc w:val="right"/>
              <w:rPr>
                <w:rFonts w:eastAsia="Times New Roman"/>
                <w:sz w:val="20"/>
                <w:szCs w:val="20"/>
              </w:rPr>
            </w:pPr>
            <w:r w:rsidRPr="006E0CB0">
              <w:rPr>
                <w:rFonts w:eastAsia="Times New Roman"/>
                <w:sz w:val="20"/>
                <w:szCs w:val="20"/>
              </w:rPr>
              <w:t>1,019,783.81</w:t>
            </w:r>
          </w:p>
        </w:tc>
        <w:tc>
          <w:tcPr>
            <w:tcW w:w="1350" w:type="dxa"/>
            <w:tcBorders>
              <w:top w:val="nil"/>
              <w:left w:val="nil"/>
              <w:bottom w:val="single" w:color="auto" w:sz="4" w:space="0"/>
              <w:right w:val="single" w:color="auto" w:sz="4" w:space="0"/>
            </w:tcBorders>
            <w:vAlign w:val="bottom"/>
            <w:hideMark/>
          </w:tcPr>
          <w:p w:rsidRPr="006E0CB0" w:rsidR="006E0CB0" w:rsidP="006E0CB0" w:rsidRDefault="006E0CB0" w14:paraId="1A8CE47B" w14:textId="77777777">
            <w:pPr>
              <w:ind w:left="450" w:right="180"/>
              <w:jc w:val="center"/>
              <w:rPr>
                <w:rFonts w:eastAsia="Times New Roman"/>
                <w:sz w:val="20"/>
                <w:szCs w:val="20"/>
              </w:rPr>
            </w:pPr>
            <w:r w:rsidRPr="006E0CB0">
              <w:rPr>
                <w:rFonts w:eastAsia="Times New Roman"/>
                <w:sz w:val="20"/>
                <w:szCs w:val="20"/>
              </w:rPr>
              <w:t>2022</w:t>
            </w:r>
          </w:p>
        </w:tc>
        <w:tc>
          <w:tcPr>
            <w:tcW w:w="1980" w:type="dxa"/>
            <w:tcBorders>
              <w:top w:val="nil"/>
              <w:left w:val="nil"/>
              <w:bottom w:val="single" w:color="auto" w:sz="4" w:space="0"/>
              <w:right w:val="single" w:color="auto" w:sz="4" w:space="0"/>
            </w:tcBorders>
            <w:vAlign w:val="bottom"/>
            <w:hideMark/>
          </w:tcPr>
          <w:p w:rsidRPr="006E0CB0" w:rsidR="006E0CB0" w:rsidP="00C07325" w:rsidRDefault="006E0CB0" w14:paraId="2A2612C9" w14:textId="77777777">
            <w:pPr>
              <w:ind w:right="-19" w:hanging="20"/>
              <w:jc w:val="right"/>
              <w:rPr>
                <w:rFonts w:eastAsia="Times New Roman"/>
                <w:sz w:val="20"/>
                <w:szCs w:val="20"/>
              </w:rPr>
            </w:pPr>
            <w:r w:rsidRPr="006E0CB0">
              <w:rPr>
                <w:rFonts w:eastAsia="Times New Roman"/>
                <w:sz w:val="20"/>
                <w:szCs w:val="20"/>
              </w:rPr>
              <w:t>200,430.15</w:t>
            </w:r>
          </w:p>
        </w:tc>
        <w:tc>
          <w:tcPr>
            <w:tcW w:w="1800" w:type="dxa"/>
            <w:tcBorders>
              <w:top w:val="nil"/>
              <w:left w:val="nil"/>
              <w:bottom w:val="single" w:color="auto" w:sz="4" w:space="0"/>
              <w:right w:val="single" w:color="auto" w:sz="4" w:space="0"/>
            </w:tcBorders>
            <w:vAlign w:val="bottom"/>
            <w:hideMark/>
          </w:tcPr>
          <w:p w:rsidRPr="006E0CB0" w:rsidR="006E0CB0" w:rsidP="00C07325" w:rsidRDefault="006E0CB0" w14:paraId="11AB632B" w14:textId="77777777">
            <w:pPr>
              <w:ind w:left="-20" w:right="-22" w:firstLine="20"/>
              <w:jc w:val="right"/>
              <w:rPr>
                <w:rFonts w:eastAsia="Times New Roman"/>
                <w:sz w:val="20"/>
                <w:szCs w:val="20"/>
              </w:rPr>
            </w:pPr>
            <w:r w:rsidRPr="006E0CB0">
              <w:rPr>
                <w:rFonts w:eastAsia="Times New Roman"/>
                <w:sz w:val="20"/>
                <w:szCs w:val="20"/>
              </w:rPr>
              <w:t>40,329.55</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77081A4C" w14:textId="77777777">
            <w:pPr>
              <w:ind w:left="450" w:hanging="378"/>
              <w:jc w:val="right"/>
              <w:rPr>
                <w:rFonts w:eastAsia="Times New Roman"/>
                <w:sz w:val="20"/>
                <w:szCs w:val="20"/>
              </w:rPr>
            </w:pPr>
            <w:r w:rsidRPr="006E0CB0">
              <w:rPr>
                <w:rFonts w:eastAsia="Times New Roman"/>
                <w:sz w:val="20"/>
                <w:szCs w:val="20"/>
              </w:rPr>
              <w:t>240,759.70</w:t>
            </w:r>
          </w:p>
        </w:tc>
      </w:tr>
      <w:tr w:rsidRPr="006E0CB0" w:rsidR="006E0CB0" w:rsidTr="00C07325" w14:paraId="7363FF89" w14:textId="77777777">
        <w:trPr>
          <w:trHeight w:val="352"/>
        </w:trPr>
        <w:tc>
          <w:tcPr>
            <w:tcW w:w="1800" w:type="dxa"/>
            <w:tcBorders>
              <w:top w:val="nil"/>
              <w:left w:val="single" w:color="auto" w:sz="4" w:space="0"/>
              <w:bottom w:val="single" w:color="auto" w:sz="4" w:space="0"/>
              <w:right w:val="single" w:color="auto" w:sz="4" w:space="0"/>
            </w:tcBorders>
            <w:vAlign w:val="bottom"/>
            <w:hideMark/>
          </w:tcPr>
          <w:p w:rsidRPr="006E0CB0" w:rsidR="006E0CB0" w:rsidP="00C07325" w:rsidRDefault="006E0CB0" w14:paraId="64FE2446" w14:textId="77777777">
            <w:pPr>
              <w:ind w:left="245" w:right="50" w:hanging="90"/>
              <w:rPr>
                <w:rFonts w:eastAsia="Times New Roman"/>
                <w:sz w:val="20"/>
                <w:szCs w:val="20"/>
              </w:rPr>
            </w:pPr>
            <w:r w:rsidRPr="006E0CB0">
              <w:rPr>
                <w:rFonts w:eastAsia="Times New Roman"/>
                <w:sz w:val="20"/>
                <w:szCs w:val="20"/>
              </w:rPr>
              <w:t>2nd Installment</w:t>
            </w:r>
          </w:p>
        </w:tc>
        <w:tc>
          <w:tcPr>
            <w:tcW w:w="1530" w:type="dxa"/>
            <w:tcBorders>
              <w:top w:val="nil"/>
              <w:left w:val="nil"/>
              <w:bottom w:val="single" w:color="auto" w:sz="4" w:space="0"/>
              <w:right w:val="single" w:color="auto" w:sz="4" w:space="0"/>
            </w:tcBorders>
            <w:noWrap/>
            <w:vAlign w:val="bottom"/>
            <w:hideMark/>
          </w:tcPr>
          <w:p w:rsidRPr="006E0CB0" w:rsidR="006E0CB0" w:rsidP="00C07325" w:rsidRDefault="006E0CB0" w14:paraId="04C28AF8" w14:textId="77777777">
            <w:pPr>
              <w:ind w:left="180" w:right="180" w:hanging="90"/>
              <w:jc w:val="center"/>
              <w:rPr>
                <w:rFonts w:eastAsia="Times New Roman"/>
                <w:color w:val="000000"/>
                <w:sz w:val="20"/>
                <w:szCs w:val="20"/>
              </w:rPr>
            </w:pPr>
            <w:r w:rsidRPr="006E0CB0">
              <w:rPr>
                <w:rFonts w:eastAsia="Times New Roman"/>
                <w:color w:val="000000"/>
                <w:sz w:val="20"/>
                <w:szCs w:val="20"/>
              </w:rPr>
              <w:t>7/14/2023</w:t>
            </w:r>
          </w:p>
        </w:tc>
        <w:tc>
          <w:tcPr>
            <w:tcW w:w="1710" w:type="dxa"/>
            <w:tcBorders>
              <w:top w:val="nil"/>
              <w:left w:val="nil"/>
              <w:bottom w:val="single" w:color="auto" w:sz="4" w:space="0"/>
              <w:right w:val="single" w:color="auto" w:sz="4" w:space="0"/>
            </w:tcBorders>
            <w:vAlign w:val="bottom"/>
            <w:hideMark/>
          </w:tcPr>
          <w:p w:rsidRPr="006E0CB0" w:rsidR="006E0CB0" w:rsidP="00C07325" w:rsidRDefault="006E0CB0" w14:paraId="3659F109" w14:textId="77777777">
            <w:pPr>
              <w:ind w:left="81"/>
              <w:jc w:val="right"/>
              <w:rPr>
                <w:rFonts w:eastAsia="Times New Roman"/>
                <w:sz w:val="20"/>
                <w:szCs w:val="20"/>
              </w:rPr>
            </w:pPr>
            <w:r w:rsidRPr="006E0CB0">
              <w:rPr>
                <w:rFonts w:eastAsia="Times New Roman"/>
                <w:sz w:val="20"/>
                <w:szCs w:val="20"/>
              </w:rPr>
              <w:t>17,000,000.00</w:t>
            </w:r>
          </w:p>
        </w:tc>
        <w:tc>
          <w:tcPr>
            <w:tcW w:w="1620" w:type="dxa"/>
            <w:tcBorders>
              <w:top w:val="nil"/>
              <w:left w:val="nil"/>
              <w:bottom w:val="single" w:color="auto" w:sz="4" w:space="0"/>
              <w:right w:val="single" w:color="auto" w:sz="4" w:space="0"/>
            </w:tcBorders>
            <w:vAlign w:val="bottom"/>
            <w:hideMark/>
          </w:tcPr>
          <w:p w:rsidRPr="006E0CB0" w:rsidR="006E0CB0" w:rsidP="00C07325" w:rsidRDefault="006E0CB0" w14:paraId="3380AECD" w14:textId="77777777">
            <w:pPr>
              <w:ind w:left="70" w:right="-18"/>
              <w:jc w:val="right"/>
              <w:rPr>
                <w:rFonts w:eastAsia="Times New Roman"/>
                <w:sz w:val="20"/>
                <w:szCs w:val="20"/>
              </w:rPr>
            </w:pPr>
            <w:r w:rsidRPr="006E0CB0">
              <w:rPr>
                <w:rFonts w:eastAsia="Times New Roman"/>
                <w:sz w:val="20"/>
                <w:szCs w:val="20"/>
              </w:rPr>
              <w:t>1,624,152.10</w:t>
            </w:r>
          </w:p>
        </w:tc>
        <w:tc>
          <w:tcPr>
            <w:tcW w:w="1350" w:type="dxa"/>
            <w:tcBorders>
              <w:top w:val="nil"/>
              <w:left w:val="nil"/>
              <w:bottom w:val="single" w:color="auto" w:sz="4" w:space="0"/>
              <w:right w:val="single" w:color="auto" w:sz="4" w:space="0"/>
            </w:tcBorders>
            <w:vAlign w:val="bottom"/>
            <w:hideMark/>
          </w:tcPr>
          <w:p w:rsidRPr="006E0CB0" w:rsidR="006E0CB0" w:rsidP="006E0CB0" w:rsidRDefault="006E0CB0" w14:paraId="6ABEC1B7" w14:textId="77777777">
            <w:pPr>
              <w:ind w:left="450" w:right="180"/>
              <w:jc w:val="center"/>
              <w:rPr>
                <w:rFonts w:eastAsia="Times New Roman"/>
                <w:sz w:val="20"/>
                <w:szCs w:val="20"/>
              </w:rPr>
            </w:pPr>
            <w:r w:rsidRPr="006E0CB0">
              <w:rPr>
                <w:rFonts w:eastAsia="Times New Roman"/>
                <w:sz w:val="20"/>
                <w:szCs w:val="20"/>
              </w:rPr>
              <w:t>2023</w:t>
            </w:r>
          </w:p>
        </w:tc>
        <w:tc>
          <w:tcPr>
            <w:tcW w:w="1980" w:type="dxa"/>
            <w:tcBorders>
              <w:top w:val="nil"/>
              <w:left w:val="nil"/>
              <w:bottom w:val="single" w:color="auto" w:sz="4" w:space="0"/>
              <w:right w:val="single" w:color="auto" w:sz="4" w:space="0"/>
            </w:tcBorders>
            <w:vAlign w:val="bottom"/>
            <w:hideMark/>
          </w:tcPr>
          <w:p w:rsidRPr="006E0CB0" w:rsidR="006E0CB0" w:rsidP="00C07325" w:rsidRDefault="006E0CB0" w14:paraId="331A821E" w14:textId="77777777">
            <w:pPr>
              <w:ind w:right="-19" w:hanging="20"/>
              <w:jc w:val="right"/>
              <w:rPr>
                <w:rFonts w:eastAsia="Times New Roman"/>
                <w:sz w:val="20"/>
                <w:szCs w:val="20"/>
              </w:rPr>
            </w:pPr>
            <w:r w:rsidRPr="006E0CB0">
              <w:rPr>
                <w:rFonts w:eastAsia="Times New Roman"/>
                <w:sz w:val="20"/>
                <w:szCs w:val="20"/>
              </w:rPr>
              <w:t>1,013,369.93</w:t>
            </w:r>
          </w:p>
        </w:tc>
        <w:tc>
          <w:tcPr>
            <w:tcW w:w="1800" w:type="dxa"/>
            <w:tcBorders>
              <w:top w:val="nil"/>
              <w:left w:val="nil"/>
              <w:bottom w:val="single" w:color="auto" w:sz="4" w:space="0"/>
              <w:right w:val="single" w:color="auto" w:sz="4" w:space="0"/>
            </w:tcBorders>
            <w:vAlign w:val="bottom"/>
            <w:hideMark/>
          </w:tcPr>
          <w:p w:rsidRPr="006E0CB0" w:rsidR="006E0CB0" w:rsidP="00C07325" w:rsidRDefault="006E0CB0" w14:paraId="1AFE7D50" w14:textId="77777777">
            <w:pPr>
              <w:ind w:left="-20" w:right="-22" w:firstLine="20"/>
              <w:jc w:val="right"/>
              <w:rPr>
                <w:rFonts w:eastAsia="Times New Roman"/>
                <w:sz w:val="20"/>
                <w:szCs w:val="20"/>
              </w:rPr>
            </w:pPr>
            <w:r w:rsidRPr="006E0CB0">
              <w:rPr>
                <w:rFonts w:eastAsia="Times New Roman"/>
                <w:sz w:val="20"/>
                <w:szCs w:val="20"/>
              </w:rPr>
              <w:t>39,307.01</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301A1352" w14:textId="77777777">
            <w:pPr>
              <w:ind w:left="450" w:hanging="378"/>
              <w:jc w:val="right"/>
              <w:rPr>
                <w:rFonts w:eastAsia="Times New Roman"/>
                <w:sz w:val="20"/>
                <w:szCs w:val="20"/>
              </w:rPr>
            </w:pPr>
            <w:r w:rsidRPr="006E0CB0">
              <w:rPr>
                <w:rFonts w:eastAsia="Times New Roman"/>
                <w:sz w:val="20"/>
                <w:szCs w:val="20"/>
              </w:rPr>
              <w:t>1,052,676.94</w:t>
            </w:r>
          </w:p>
        </w:tc>
      </w:tr>
      <w:tr w:rsidRPr="006E0CB0" w:rsidR="006E0CB0" w:rsidTr="00C07325" w14:paraId="7C488A9C" w14:textId="77777777">
        <w:trPr>
          <w:trHeight w:val="361"/>
        </w:trPr>
        <w:tc>
          <w:tcPr>
            <w:tcW w:w="1800" w:type="dxa"/>
            <w:tcBorders>
              <w:top w:val="nil"/>
              <w:left w:val="single" w:color="auto" w:sz="4" w:space="0"/>
              <w:bottom w:val="single" w:color="auto" w:sz="4" w:space="0"/>
              <w:right w:val="single" w:color="auto" w:sz="4" w:space="0"/>
            </w:tcBorders>
            <w:vAlign w:val="bottom"/>
            <w:hideMark/>
          </w:tcPr>
          <w:p w:rsidRPr="006E0CB0" w:rsidR="006E0CB0" w:rsidP="00C07325" w:rsidRDefault="006E0CB0" w14:paraId="5E4F274D" w14:textId="77777777">
            <w:pPr>
              <w:ind w:left="245" w:right="50" w:hanging="90"/>
              <w:rPr>
                <w:rFonts w:eastAsia="Times New Roman"/>
                <w:sz w:val="20"/>
                <w:szCs w:val="20"/>
              </w:rPr>
            </w:pPr>
            <w:r w:rsidRPr="006E0CB0">
              <w:rPr>
                <w:rFonts w:eastAsia="Times New Roman"/>
                <w:sz w:val="20"/>
                <w:szCs w:val="20"/>
              </w:rPr>
              <w:t>3rd Installment</w:t>
            </w:r>
          </w:p>
        </w:tc>
        <w:tc>
          <w:tcPr>
            <w:tcW w:w="1530" w:type="dxa"/>
            <w:tcBorders>
              <w:top w:val="nil"/>
              <w:left w:val="nil"/>
              <w:bottom w:val="single" w:color="auto" w:sz="4" w:space="0"/>
              <w:right w:val="single" w:color="auto" w:sz="4" w:space="0"/>
            </w:tcBorders>
            <w:vAlign w:val="bottom"/>
            <w:hideMark/>
          </w:tcPr>
          <w:p w:rsidRPr="006E0CB0" w:rsidR="006E0CB0" w:rsidP="00C07325" w:rsidRDefault="006E0CB0" w14:paraId="1DA38A9E" w14:textId="77777777">
            <w:pPr>
              <w:ind w:left="180" w:right="180" w:hanging="90"/>
              <w:jc w:val="center"/>
              <w:rPr>
                <w:rFonts w:eastAsia="Times New Roman"/>
                <w:sz w:val="20"/>
                <w:szCs w:val="20"/>
              </w:rPr>
            </w:pPr>
            <w:r w:rsidRPr="006E0CB0">
              <w:rPr>
                <w:rFonts w:eastAsia="Times New Roman"/>
                <w:sz w:val="20"/>
                <w:szCs w:val="20"/>
              </w:rPr>
              <w:t>10/8/2024</w:t>
            </w:r>
          </w:p>
        </w:tc>
        <w:tc>
          <w:tcPr>
            <w:tcW w:w="1710" w:type="dxa"/>
            <w:tcBorders>
              <w:top w:val="nil"/>
              <w:left w:val="nil"/>
              <w:bottom w:val="single" w:color="auto" w:sz="4" w:space="0"/>
              <w:right w:val="single" w:color="auto" w:sz="4" w:space="0"/>
            </w:tcBorders>
            <w:vAlign w:val="bottom"/>
            <w:hideMark/>
          </w:tcPr>
          <w:p w:rsidRPr="006E0CB0" w:rsidR="006E0CB0" w:rsidP="00C07325" w:rsidRDefault="006E0CB0" w14:paraId="26099A7A" w14:textId="77777777">
            <w:pPr>
              <w:ind w:left="81"/>
              <w:jc w:val="right"/>
              <w:rPr>
                <w:rFonts w:eastAsia="Times New Roman"/>
                <w:sz w:val="20"/>
                <w:szCs w:val="20"/>
              </w:rPr>
            </w:pPr>
            <w:r w:rsidRPr="006E0CB0">
              <w:rPr>
                <w:rFonts w:eastAsia="Times New Roman"/>
                <w:sz w:val="20"/>
                <w:szCs w:val="20"/>
              </w:rPr>
              <w:t>19,100,000.00</w:t>
            </w:r>
          </w:p>
        </w:tc>
        <w:tc>
          <w:tcPr>
            <w:tcW w:w="1620" w:type="dxa"/>
            <w:tcBorders>
              <w:top w:val="nil"/>
              <w:left w:val="nil"/>
              <w:bottom w:val="single" w:color="auto" w:sz="4" w:space="0"/>
              <w:right w:val="single" w:color="auto" w:sz="4" w:space="0"/>
            </w:tcBorders>
            <w:vAlign w:val="bottom"/>
            <w:hideMark/>
          </w:tcPr>
          <w:p w:rsidRPr="006E0CB0" w:rsidR="006E0CB0" w:rsidP="00C07325" w:rsidRDefault="006E0CB0" w14:paraId="5978144F" w14:textId="77777777">
            <w:pPr>
              <w:ind w:left="70" w:right="-18"/>
              <w:jc w:val="right"/>
              <w:rPr>
                <w:rFonts w:eastAsia="Times New Roman"/>
                <w:sz w:val="20"/>
                <w:szCs w:val="20"/>
              </w:rPr>
            </w:pPr>
            <w:r w:rsidRPr="006E0CB0">
              <w:rPr>
                <w:rFonts w:eastAsia="Times New Roman"/>
                <w:sz w:val="20"/>
                <w:szCs w:val="20"/>
              </w:rPr>
              <w:t>1,827,576.31</w:t>
            </w:r>
          </w:p>
        </w:tc>
        <w:tc>
          <w:tcPr>
            <w:tcW w:w="1350" w:type="dxa"/>
            <w:tcBorders>
              <w:top w:val="nil"/>
              <w:left w:val="nil"/>
              <w:bottom w:val="single" w:color="auto" w:sz="4" w:space="0"/>
              <w:right w:val="single" w:color="auto" w:sz="4" w:space="0"/>
            </w:tcBorders>
            <w:vAlign w:val="bottom"/>
            <w:hideMark/>
          </w:tcPr>
          <w:p w:rsidRPr="006E0CB0" w:rsidR="006E0CB0" w:rsidP="006E0CB0" w:rsidRDefault="006E0CB0" w14:paraId="6EAFFA4E" w14:textId="77777777">
            <w:pPr>
              <w:ind w:left="450" w:right="180"/>
              <w:jc w:val="center"/>
              <w:rPr>
                <w:rFonts w:eastAsia="Times New Roman"/>
                <w:sz w:val="20"/>
                <w:szCs w:val="20"/>
              </w:rPr>
            </w:pPr>
            <w:r w:rsidRPr="006E0CB0">
              <w:rPr>
                <w:rFonts w:eastAsia="Times New Roman"/>
                <w:sz w:val="20"/>
                <w:szCs w:val="20"/>
              </w:rPr>
              <w:t>2024</w:t>
            </w:r>
          </w:p>
        </w:tc>
        <w:tc>
          <w:tcPr>
            <w:tcW w:w="1980" w:type="dxa"/>
            <w:tcBorders>
              <w:top w:val="nil"/>
              <w:left w:val="nil"/>
              <w:bottom w:val="single" w:color="auto" w:sz="4" w:space="0"/>
              <w:right w:val="single" w:color="auto" w:sz="4" w:space="0"/>
            </w:tcBorders>
            <w:vAlign w:val="bottom"/>
            <w:hideMark/>
          </w:tcPr>
          <w:p w:rsidRPr="006E0CB0" w:rsidR="006E0CB0" w:rsidP="00C07325" w:rsidRDefault="006E0CB0" w14:paraId="702279D8" w14:textId="77777777">
            <w:pPr>
              <w:ind w:right="-19" w:hanging="20"/>
              <w:jc w:val="right"/>
              <w:rPr>
                <w:rFonts w:eastAsia="Times New Roman"/>
                <w:sz w:val="20"/>
                <w:szCs w:val="20"/>
              </w:rPr>
            </w:pPr>
            <w:r w:rsidRPr="006E0CB0">
              <w:rPr>
                <w:rFonts w:eastAsia="Times New Roman"/>
                <w:sz w:val="20"/>
                <w:szCs w:val="20"/>
              </w:rPr>
              <w:t>1,791,329.63</w:t>
            </w:r>
          </w:p>
        </w:tc>
        <w:tc>
          <w:tcPr>
            <w:tcW w:w="1800" w:type="dxa"/>
            <w:tcBorders>
              <w:top w:val="nil"/>
              <w:left w:val="nil"/>
              <w:bottom w:val="single" w:color="auto" w:sz="4" w:space="0"/>
              <w:right w:val="single" w:color="auto" w:sz="4" w:space="0"/>
            </w:tcBorders>
            <w:vAlign w:val="bottom"/>
            <w:hideMark/>
          </w:tcPr>
          <w:p w:rsidRPr="006E0CB0" w:rsidR="006E0CB0" w:rsidP="00C07325" w:rsidRDefault="006E0CB0" w14:paraId="75A948E1" w14:textId="77777777">
            <w:pPr>
              <w:ind w:left="-20" w:right="-22" w:firstLine="20"/>
              <w:jc w:val="right"/>
              <w:rPr>
                <w:rFonts w:eastAsia="Times New Roman"/>
                <w:sz w:val="20"/>
                <w:szCs w:val="20"/>
              </w:rPr>
            </w:pPr>
            <w:r w:rsidRPr="006E0CB0">
              <w:rPr>
                <w:rFonts w:eastAsia="Times New Roman"/>
                <w:sz w:val="20"/>
                <w:szCs w:val="20"/>
              </w:rPr>
              <w:t>206,854.02</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7A5DD1DA" w14:textId="77777777">
            <w:pPr>
              <w:ind w:left="450" w:hanging="378"/>
              <w:jc w:val="right"/>
              <w:rPr>
                <w:rFonts w:eastAsia="Times New Roman"/>
                <w:sz w:val="20"/>
                <w:szCs w:val="20"/>
              </w:rPr>
            </w:pPr>
            <w:r w:rsidRPr="006E0CB0">
              <w:rPr>
                <w:rFonts w:eastAsia="Times New Roman"/>
                <w:sz w:val="20"/>
                <w:szCs w:val="20"/>
              </w:rPr>
              <w:t>1,998,183.65</w:t>
            </w:r>
          </w:p>
        </w:tc>
      </w:tr>
      <w:tr w:rsidRPr="006E0CB0" w:rsidR="006E0CB0" w:rsidTr="00C07325" w14:paraId="3BD126C7" w14:textId="77777777">
        <w:trPr>
          <w:trHeight w:val="352"/>
        </w:trPr>
        <w:tc>
          <w:tcPr>
            <w:tcW w:w="1800" w:type="dxa"/>
            <w:tcBorders>
              <w:top w:val="nil"/>
              <w:left w:val="single" w:color="auto" w:sz="4" w:space="0"/>
              <w:bottom w:val="single" w:color="auto" w:sz="4" w:space="0"/>
              <w:right w:val="single" w:color="auto" w:sz="4" w:space="0"/>
            </w:tcBorders>
            <w:vAlign w:val="bottom"/>
            <w:hideMark/>
          </w:tcPr>
          <w:p w:rsidRPr="006E0CB0" w:rsidR="006E0CB0" w:rsidP="00C07325" w:rsidRDefault="006E0CB0" w14:paraId="05FA6A9A" w14:textId="77777777">
            <w:pPr>
              <w:ind w:left="245" w:right="50" w:hanging="90"/>
              <w:rPr>
                <w:rFonts w:eastAsia="Times New Roman"/>
                <w:sz w:val="20"/>
                <w:szCs w:val="20"/>
              </w:rPr>
            </w:pPr>
            <w:r w:rsidRPr="006E0CB0">
              <w:rPr>
                <w:rFonts w:eastAsia="Times New Roman"/>
                <w:sz w:val="20"/>
                <w:szCs w:val="20"/>
              </w:rPr>
              <w:t>4th Installment</w:t>
            </w:r>
          </w:p>
        </w:tc>
        <w:tc>
          <w:tcPr>
            <w:tcW w:w="1530" w:type="dxa"/>
            <w:tcBorders>
              <w:top w:val="nil"/>
              <w:left w:val="nil"/>
              <w:bottom w:val="single" w:color="auto" w:sz="4" w:space="0"/>
              <w:right w:val="single" w:color="auto" w:sz="4" w:space="0"/>
            </w:tcBorders>
            <w:vAlign w:val="bottom"/>
            <w:hideMark/>
          </w:tcPr>
          <w:p w:rsidRPr="006E0CB0" w:rsidR="006E0CB0" w:rsidP="00C07325" w:rsidRDefault="006E0CB0" w14:paraId="72D84705" w14:textId="77777777">
            <w:pPr>
              <w:ind w:left="180" w:right="180" w:hanging="90"/>
              <w:jc w:val="center"/>
              <w:rPr>
                <w:rFonts w:eastAsia="Times New Roman"/>
                <w:sz w:val="20"/>
                <w:szCs w:val="20"/>
              </w:rPr>
            </w:pPr>
            <w:r w:rsidRPr="006E0CB0">
              <w:rPr>
                <w:rFonts w:eastAsia="Times New Roman"/>
                <w:sz w:val="20"/>
                <w:szCs w:val="20"/>
              </w:rPr>
              <w:t>5/30/2025</w:t>
            </w:r>
          </w:p>
        </w:tc>
        <w:tc>
          <w:tcPr>
            <w:tcW w:w="1710" w:type="dxa"/>
            <w:tcBorders>
              <w:top w:val="nil"/>
              <w:left w:val="nil"/>
              <w:bottom w:val="single" w:color="auto" w:sz="4" w:space="0"/>
              <w:right w:val="single" w:color="auto" w:sz="4" w:space="0"/>
            </w:tcBorders>
            <w:vAlign w:val="bottom"/>
            <w:hideMark/>
          </w:tcPr>
          <w:p w:rsidRPr="006E0CB0" w:rsidR="006E0CB0" w:rsidP="00C07325" w:rsidRDefault="006E0CB0" w14:paraId="6E298A0B" w14:textId="77777777">
            <w:pPr>
              <w:ind w:left="81"/>
              <w:jc w:val="right"/>
              <w:rPr>
                <w:rFonts w:eastAsia="Times New Roman"/>
                <w:sz w:val="20"/>
                <w:szCs w:val="20"/>
              </w:rPr>
            </w:pPr>
            <w:r w:rsidRPr="006E0CB0">
              <w:rPr>
                <w:rFonts w:eastAsia="Times New Roman"/>
                <w:sz w:val="20"/>
                <w:szCs w:val="20"/>
              </w:rPr>
              <w:t>2,500,000.00</w:t>
            </w:r>
          </w:p>
        </w:tc>
        <w:tc>
          <w:tcPr>
            <w:tcW w:w="1620" w:type="dxa"/>
            <w:tcBorders>
              <w:top w:val="nil"/>
              <w:left w:val="nil"/>
              <w:bottom w:val="single" w:color="auto" w:sz="4" w:space="0"/>
              <w:right w:val="single" w:color="auto" w:sz="4" w:space="0"/>
            </w:tcBorders>
            <w:vAlign w:val="bottom"/>
            <w:hideMark/>
          </w:tcPr>
          <w:p w:rsidRPr="006E0CB0" w:rsidR="006E0CB0" w:rsidP="00C07325" w:rsidRDefault="006E0CB0" w14:paraId="4AA1B252" w14:textId="77777777">
            <w:pPr>
              <w:ind w:left="70" w:right="-18"/>
              <w:jc w:val="right"/>
              <w:rPr>
                <w:rFonts w:eastAsia="Times New Roman"/>
                <w:sz w:val="20"/>
                <w:szCs w:val="20"/>
              </w:rPr>
            </w:pPr>
            <w:r w:rsidRPr="006E0CB0">
              <w:rPr>
                <w:rFonts w:eastAsia="Times New Roman"/>
                <w:sz w:val="20"/>
                <w:szCs w:val="20"/>
              </w:rPr>
              <w:t>257,042.98</w:t>
            </w:r>
          </w:p>
        </w:tc>
        <w:tc>
          <w:tcPr>
            <w:tcW w:w="1350" w:type="dxa"/>
            <w:tcBorders>
              <w:top w:val="nil"/>
              <w:left w:val="nil"/>
              <w:bottom w:val="single" w:color="auto" w:sz="4" w:space="0"/>
              <w:right w:val="single" w:color="auto" w:sz="4" w:space="0"/>
            </w:tcBorders>
            <w:vAlign w:val="bottom"/>
            <w:hideMark/>
          </w:tcPr>
          <w:p w:rsidRPr="006E0CB0" w:rsidR="006E0CB0" w:rsidP="006E0CB0" w:rsidRDefault="006E0CB0" w14:paraId="3842C40A" w14:textId="77777777">
            <w:pPr>
              <w:ind w:left="450" w:right="180"/>
              <w:jc w:val="center"/>
              <w:rPr>
                <w:rFonts w:eastAsia="Times New Roman"/>
                <w:sz w:val="20"/>
                <w:szCs w:val="20"/>
              </w:rPr>
            </w:pPr>
            <w:r w:rsidRPr="006E0CB0">
              <w:rPr>
                <w:rFonts w:eastAsia="Times New Roman"/>
                <w:sz w:val="20"/>
                <w:szCs w:val="20"/>
              </w:rPr>
              <w:t>2025</w:t>
            </w:r>
            <w:r w:rsidRPr="006E0CB0">
              <w:rPr>
                <w:rFonts w:eastAsia="Times New Roman"/>
                <w:sz w:val="20"/>
                <w:szCs w:val="20"/>
                <w:vertAlign w:val="superscript"/>
              </w:rPr>
              <w:footnoteReference w:id="4"/>
            </w:r>
          </w:p>
        </w:tc>
        <w:tc>
          <w:tcPr>
            <w:tcW w:w="1980" w:type="dxa"/>
            <w:tcBorders>
              <w:top w:val="nil"/>
              <w:left w:val="nil"/>
              <w:bottom w:val="single" w:color="auto" w:sz="4" w:space="0"/>
              <w:right w:val="single" w:color="auto" w:sz="4" w:space="0"/>
            </w:tcBorders>
            <w:noWrap/>
            <w:vAlign w:val="bottom"/>
            <w:hideMark/>
          </w:tcPr>
          <w:p w:rsidRPr="006E0CB0" w:rsidR="006E0CB0" w:rsidP="00C07325" w:rsidRDefault="006E0CB0" w14:paraId="74677BB6" w14:textId="77777777">
            <w:pPr>
              <w:ind w:right="-19" w:hanging="20"/>
              <w:jc w:val="right"/>
              <w:rPr>
                <w:rFonts w:eastAsia="Times New Roman"/>
                <w:sz w:val="20"/>
                <w:szCs w:val="20"/>
              </w:rPr>
            </w:pPr>
            <w:r w:rsidRPr="006E0CB0">
              <w:rPr>
                <w:rFonts w:eastAsia="Times New Roman"/>
                <w:sz w:val="20"/>
                <w:szCs w:val="20"/>
              </w:rPr>
              <w:t>1,740,334.90</w:t>
            </w:r>
          </w:p>
        </w:tc>
        <w:tc>
          <w:tcPr>
            <w:tcW w:w="1800" w:type="dxa"/>
            <w:tcBorders>
              <w:top w:val="nil"/>
              <w:left w:val="nil"/>
              <w:bottom w:val="single" w:color="auto" w:sz="4" w:space="0"/>
              <w:right w:val="single" w:color="auto" w:sz="4" w:space="0"/>
            </w:tcBorders>
            <w:vAlign w:val="bottom"/>
            <w:hideMark/>
          </w:tcPr>
          <w:p w:rsidRPr="006E0CB0" w:rsidR="006E0CB0" w:rsidP="00C07325" w:rsidRDefault="006E0CB0" w14:paraId="4101EB48" w14:textId="77777777">
            <w:pPr>
              <w:ind w:left="-20" w:right="-22" w:firstLine="20"/>
              <w:jc w:val="right"/>
              <w:rPr>
                <w:rFonts w:eastAsia="Times New Roman"/>
                <w:sz w:val="20"/>
                <w:szCs w:val="20"/>
              </w:rPr>
            </w:pPr>
            <w:r w:rsidRPr="006E0CB0">
              <w:rPr>
                <w:rFonts w:eastAsia="Times New Roman"/>
                <w:sz w:val="20"/>
                <w:szCs w:val="20"/>
              </w:rPr>
              <w:t>247,125.40</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01ABEDDF" w14:textId="77777777">
            <w:pPr>
              <w:ind w:left="450" w:hanging="378"/>
              <w:jc w:val="right"/>
              <w:rPr>
                <w:rFonts w:eastAsia="Times New Roman"/>
                <w:sz w:val="20"/>
                <w:szCs w:val="20"/>
              </w:rPr>
            </w:pPr>
            <w:r w:rsidRPr="006E0CB0">
              <w:rPr>
                <w:rFonts w:eastAsia="Times New Roman"/>
                <w:sz w:val="20"/>
                <w:szCs w:val="20"/>
              </w:rPr>
              <w:t>1,987,460.30</w:t>
            </w:r>
          </w:p>
        </w:tc>
      </w:tr>
      <w:tr w:rsidRPr="006E0CB0" w:rsidR="006E0CB0" w:rsidTr="00C07325" w14:paraId="771DE285" w14:textId="77777777">
        <w:trPr>
          <w:trHeight w:val="343"/>
        </w:trPr>
        <w:tc>
          <w:tcPr>
            <w:tcW w:w="1800" w:type="dxa"/>
            <w:tcBorders>
              <w:top w:val="nil"/>
              <w:left w:val="single" w:color="auto" w:sz="4" w:space="0"/>
              <w:bottom w:val="single" w:color="auto" w:sz="4" w:space="0"/>
              <w:right w:val="single" w:color="auto" w:sz="4" w:space="0"/>
            </w:tcBorders>
            <w:vAlign w:val="bottom"/>
            <w:hideMark/>
          </w:tcPr>
          <w:p w:rsidRPr="006E0CB0" w:rsidR="006E0CB0" w:rsidP="00C07325" w:rsidRDefault="006E0CB0" w14:paraId="61C984EC" w14:textId="77777777">
            <w:pPr>
              <w:ind w:left="245" w:right="50" w:hanging="90"/>
              <w:rPr>
                <w:rFonts w:eastAsia="Times New Roman"/>
                <w:sz w:val="20"/>
                <w:szCs w:val="20"/>
              </w:rPr>
            </w:pPr>
            <w:r w:rsidRPr="006E0CB0">
              <w:rPr>
                <w:rFonts w:eastAsia="Times New Roman"/>
                <w:sz w:val="20"/>
                <w:szCs w:val="20"/>
              </w:rPr>
              <w:t>5th Installment</w:t>
            </w:r>
          </w:p>
        </w:tc>
        <w:tc>
          <w:tcPr>
            <w:tcW w:w="1530" w:type="dxa"/>
            <w:tcBorders>
              <w:top w:val="nil"/>
              <w:left w:val="nil"/>
              <w:bottom w:val="single" w:color="auto" w:sz="4" w:space="0"/>
              <w:right w:val="single" w:color="auto" w:sz="4" w:space="0"/>
            </w:tcBorders>
            <w:vAlign w:val="bottom"/>
            <w:hideMark/>
          </w:tcPr>
          <w:p w:rsidRPr="006E0CB0" w:rsidR="006E0CB0" w:rsidP="00C07325" w:rsidRDefault="006E0CB0" w14:paraId="0AFD4068" w14:textId="77777777">
            <w:pPr>
              <w:ind w:left="180" w:right="180" w:hanging="90"/>
              <w:jc w:val="center"/>
              <w:rPr>
                <w:rFonts w:eastAsia="Times New Roman"/>
                <w:sz w:val="20"/>
                <w:szCs w:val="20"/>
              </w:rPr>
            </w:pPr>
            <w:r w:rsidRPr="006E0CB0">
              <w:rPr>
                <w:rFonts w:eastAsia="Times New Roman"/>
                <w:sz w:val="20"/>
                <w:szCs w:val="20"/>
              </w:rPr>
              <w:t>5/31/2025</w:t>
            </w:r>
          </w:p>
        </w:tc>
        <w:tc>
          <w:tcPr>
            <w:tcW w:w="1710" w:type="dxa"/>
            <w:tcBorders>
              <w:top w:val="nil"/>
              <w:left w:val="nil"/>
              <w:bottom w:val="single" w:color="auto" w:sz="4" w:space="0"/>
              <w:right w:val="single" w:color="auto" w:sz="4" w:space="0"/>
            </w:tcBorders>
            <w:vAlign w:val="bottom"/>
            <w:hideMark/>
          </w:tcPr>
          <w:p w:rsidRPr="006E0CB0" w:rsidR="006E0CB0" w:rsidP="00C07325" w:rsidRDefault="006E0CB0" w14:paraId="309C941F" w14:textId="77777777">
            <w:pPr>
              <w:ind w:left="81"/>
              <w:jc w:val="right"/>
              <w:rPr>
                <w:rFonts w:eastAsia="Times New Roman"/>
                <w:sz w:val="20"/>
                <w:szCs w:val="20"/>
              </w:rPr>
            </w:pPr>
            <w:r w:rsidRPr="006E0CB0">
              <w:rPr>
                <w:rFonts w:eastAsia="Times New Roman"/>
                <w:sz w:val="20"/>
                <w:szCs w:val="20"/>
              </w:rPr>
              <w:t>2,900,000.00</w:t>
            </w:r>
          </w:p>
        </w:tc>
        <w:tc>
          <w:tcPr>
            <w:tcW w:w="1620" w:type="dxa"/>
            <w:tcBorders>
              <w:top w:val="nil"/>
              <w:left w:val="nil"/>
              <w:bottom w:val="single" w:color="auto" w:sz="4" w:space="0"/>
              <w:right w:val="single" w:color="auto" w:sz="4" w:space="0"/>
            </w:tcBorders>
            <w:vAlign w:val="bottom"/>
            <w:hideMark/>
          </w:tcPr>
          <w:p w:rsidRPr="006E0CB0" w:rsidR="006E0CB0" w:rsidP="00C07325" w:rsidRDefault="006E0CB0" w14:paraId="01EB47E6" w14:textId="77777777">
            <w:pPr>
              <w:ind w:left="70" w:right="-18"/>
              <w:jc w:val="right"/>
              <w:rPr>
                <w:rFonts w:eastAsia="Times New Roman"/>
                <w:sz w:val="20"/>
                <w:szCs w:val="20"/>
              </w:rPr>
            </w:pPr>
            <w:r w:rsidRPr="006E0CB0">
              <w:rPr>
                <w:rFonts w:eastAsia="Times New Roman"/>
                <w:sz w:val="20"/>
                <w:szCs w:val="20"/>
              </w:rPr>
              <w:t>304,078.85</w:t>
            </w:r>
          </w:p>
        </w:tc>
        <w:tc>
          <w:tcPr>
            <w:tcW w:w="1350" w:type="dxa"/>
            <w:tcBorders>
              <w:top w:val="nil"/>
              <w:left w:val="nil"/>
              <w:bottom w:val="single" w:color="auto" w:sz="4" w:space="0"/>
              <w:right w:val="single" w:color="auto" w:sz="4" w:space="0"/>
            </w:tcBorders>
            <w:vAlign w:val="bottom"/>
            <w:hideMark/>
          </w:tcPr>
          <w:p w:rsidRPr="006E0CB0" w:rsidR="006E0CB0" w:rsidP="006E0CB0" w:rsidRDefault="006E0CB0" w14:paraId="3A3205D7" w14:textId="77777777">
            <w:pPr>
              <w:ind w:left="450" w:right="180"/>
              <w:jc w:val="center"/>
              <w:rPr>
                <w:rFonts w:eastAsia="Times New Roman"/>
                <w:sz w:val="20"/>
                <w:szCs w:val="20"/>
              </w:rPr>
            </w:pPr>
            <w:r w:rsidRPr="006E0CB0">
              <w:rPr>
                <w:rFonts w:eastAsia="Times New Roman"/>
                <w:sz w:val="20"/>
                <w:szCs w:val="20"/>
              </w:rPr>
              <w:t>2026</w:t>
            </w:r>
            <w:r w:rsidRPr="006E0CB0">
              <w:rPr>
                <w:rFonts w:eastAsia="Times New Roman"/>
                <w:sz w:val="20"/>
                <w:szCs w:val="20"/>
                <w:vertAlign w:val="superscript"/>
              </w:rPr>
              <w:footnoteReference w:id="5"/>
            </w:r>
          </w:p>
        </w:tc>
        <w:tc>
          <w:tcPr>
            <w:tcW w:w="1980" w:type="dxa"/>
            <w:tcBorders>
              <w:top w:val="nil"/>
              <w:left w:val="nil"/>
              <w:bottom w:val="single" w:color="auto" w:sz="4" w:space="0"/>
              <w:right w:val="single" w:color="auto" w:sz="4" w:space="0"/>
            </w:tcBorders>
            <w:noWrap/>
            <w:vAlign w:val="bottom"/>
            <w:hideMark/>
          </w:tcPr>
          <w:p w:rsidRPr="006E0CB0" w:rsidR="006E0CB0" w:rsidP="00C07325" w:rsidRDefault="006E0CB0" w14:paraId="2C16E74B" w14:textId="77777777">
            <w:pPr>
              <w:ind w:right="-19" w:hanging="20"/>
              <w:jc w:val="right"/>
              <w:rPr>
                <w:rFonts w:eastAsia="Times New Roman"/>
                <w:sz w:val="20"/>
                <w:szCs w:val="20"/>
              </w:rPr>
            </w:pPr>
            <w:r w:rsidRPr="006E0CB0">
              <w:rPr>
                <w:rFonts w:eastAsia="Times New Roman"/>
                <w:sz w:val="20"/>
                <w:szCs w:val="20"/>
              </w:rPr>
              <w:t>261,788.44</w:t>
            </w:r>
          </w:p>
        </w:tc>
        <w:tc>
          <w:tcPr>
            <w:tcW w:w="1800" w:type="dxa"/>
            <w:tcBorders>
              <w:top w:val="nil"/>
              <w:left w:val="nil"/>
              <w:bottom w:val="single" w:color="auto" w:sz="4" w:space="0"/>
              <w:right w:val="single" w:color="auto" w:sz="4" w:space="0"/>
            </w:tcBorders>
            <w:vAlign w:val="bottom"/>
            <w:hideMark/>
          </w:tcPr>
          <w:p w:rsidRPr="006E0CB0" w:rsidR="006E0CB0" w:rsidP="00C07325" w:rsidRDefault="006E0CB0" w14:paraId="05B3FF18" w14:textId="77777777">
            <w:pPr>
              <w:ind w:left="-20" w:right="-22" w:firstLine="20"/>
              <w:jc w:val="right"/>
              <w:rPr>
                <w:rFonts w:eastAsia="Times New Roman"/>
                <w:sz w:val="20"/>
                <w:szCs w:val="20"/>
              </w:rPr>
            </w:pPr>
            <w:r w:rsidRPr="006E0CB0">
              <w:rPr>
                <w:rFonts w:eastAsia="Times New Roman"/>
                <w:sz w:val="20"/>
                <w:szCs w:val="20"/>
              </w:rPr>
              <w:t>4,133.72</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654DDCD6" w14:textId="77777777">
            <w:pPr>
              <w:ind w:left="450" w:hanging="378"/>
              <w:jc w:val="right"/>
              <w:rPr>
                <w:rFonts w:eastAsia="Times New Roman"/>
                <w:sz w:val="20"/>
                <w:szCs w:val="20"/>
              </w:rPr>
            </w:pPr>
            <w:r w:rsidRPr="006E0CB0">
              <w:rPr>
                <w:rFonts w:eastAsia="Times New Roman"/>
                <w:sz w:val="20"/>
                <w:szCs w:val="20"/>
              </w:rPr>
              <w:t>265,922.16</w:t>
            </w:r>
          </w:p>
        </w:tc>
      </w:tr>
      <w:tr w:rsidRPr="006E0CB0" w:rsidR="006E0CB0" w:rsidTr="00C07325" w14:paraId="23386D95" w14:textId="77777777">
        <w:trPr>
          <w:trHeight w:val="279"/>
        </w:trPr>
        <w:tc>
          <w:tcPr>
            <w:tcW w:w="1800" w:type="dxa"/>
            <w:tcBorders>
              <w:top w:val="nil"/>
              <w:left w:val="nil"/>
              <w:bottom w:val="nil"/>
              <w:right w:val="nil"/>
            </w:tcBorders>
            <w:noWrap/>
            <w:vAlign w:val="bottom"/>
            <w:hideMark/>
          </w:tcPr>
          <w:p w:rsidRPr="006E0CB0" w:rsidR="006E0CB0" w:rsidP="006E0CB0" w:rsidRDefault="006E0CB0" w14:paraId="5087EDEB" w14:textId="77777777">
            <w:pPr>
              <w:ind w:left="450" w:right="180"/>
              <w:jc w:val="right"/>
              <w:rPr>
                <w:rFonts w:eastAsia="Times New Roman"/>
                <w:sz w:val="20"/>
                <w:szCs w:val="20"/>
              </w:rPr>
            </w:pPr>
          </w:p>
        </w:tc>
        <w:tc>
          <w:tcPr>
            <w:tcW w:w="1530" w:type="dxa"/>
            <w:tcBorders>
              <w:top w:val="nil"/>
              <w:left w:val="nil"/>
              <w:bottom w:val="nil"/>
              <w:right w:val="nil"/>
            </w:tcBorders>
            <w:noWrap/>
            <w:vAlign w:val="bottom"/>
            <w:hideMark/>
          </w:tcPr>
          <w:p w:rsidRPr="006E0CB0" w:rsidR="006E0CB0" w:rsidP="006E0CB0" w:rsidRDefault="006E0CB0" w14:paraId="09BF35E7" w14:textId="77777777">
            <w:pPr>
              <w:ind w:left="450" w:right="180"/>
              <w:rPr>
                <w:rFonts w:eastAsia="Times New Roman"/>
                <w:sz w:val="20"/>
                <w:szCs w:val="20"/>
              </w:rPr>
            </w:pPr>
          </w:p>
        </w:tc>
        <w:tc>
          <w:tcPr>
            <w:tcW w:w="1710" w:type="dxa"/>
            <w:tcBorders>
              <w:top w:val="nil"/>
              <w:left w:val="nil"/>
              <w:bottom w:val="nil"/>
              <w:right w:val="nil"/>
            </w:tcBorders>
            <w:noWrap/>
            <w:vAlign w:val="bottom"/>
            <w:hideMark/>
          </w:tcPr>
          <w:p w:rsidRPr="006E0CB0" w:rsidR="006E0CB0" w:rsidP="006E0CB0" w:rsidRDefault="006E0CB0" w14:paraId="0783971E" w14:textId="77777777">
            <w:pPr>
              <w:ind w:left="450" w:right="180"/>
              <w:rPr>
                <w:rFonts w:eastAsia="Times New Roman"/>
                <w:sz w:val="20"/>
                <w:szCs w:val="20"/>
              </w:rPr>
            </w:pPr>
          </w:p>
        </w:tc>
        <w:tc>
          <w:tcPr>
            <w:tcW w:w="1620" w:type="dxa"/>
            <w:tcBorders>
              <w:top w:val="nil"/>
              <w:left w:val="nil"/>
              <w:bottom w:val="nil"/>
              <w:right w:val="nil"/>
            </w:tcBorders>
            <w:noWrap/>
            <w:vAlign w:val="bottom"/>
            <w:hideMark/>
          </w:tcPr>
          <w:p w:rsidRPr="006E0CB0" w:rsidR="006E0CB0" w:rsidP="006E0CB0" w:rsidRDefault="006E0CB0" w14:paraId="5E491637" w14:textId="77777777">
            <w:pPr>
              <w:ind w:left="450" w:right="180"/>
              <w:rPr>
                <w:rFonts w:eastAsia="Times New Roman"/>
                <w:sz w:val="20"/>
                <w:szCs w:val="20"/>
              </w:rPr>
            </w:pPr>
          </w:p>
        </w:tc>
        <w:tc>
          <w:tcPr>
            <w:tcW w:w="1350" w:type="dxa"/>
            <w:tcBorders>
              <w:top w:val="nil"/>
              <w:left w:val="nil"/>
              <w:bottom w:val="nil"/>
              <w:right w:val="nil"/>
            </w:tcBorders>
            <w:noWrap/>
            <w:vAlign w:val="bottom"/>
            <w:hideMark/>
          </w:tcPr>
          <w:p w:rsidRPr="006E0CB0" w:rsidR="006E0CB0" w:rsidP="006E0CB0" w:rsidRDefault="006E0CB0" w14:paraId="34E61E4A" w14:textId="77777777">
            <w:pPr>
              <w:ind w:left="450" w:right="180"/>
              <w:jc w:val="right"/>
              <w:rPr>
                <w:rFonts w:eastAsia="Times New Roman"/>
                <w:b/>
                <w:bCs/>
                <w:sz w:val="20"/>
                <w:szCs w:val="20"/>
              </w:rPr>
            </w:pPr>
            <w:r w:rsidRPr="006E0CB0">
              <w:rPr>
                <w:rFonts w:eastAsia="Times New Roman"/>
                <w:b/>
                <w:bCs/>
                <w:sz w:val="20"/>
                <w:szCs w:val="20"/>
              </w:rPr>
              <w:t>Total:</w:t>
            </w:r>
          </w:p>
        </w:tc>
        <w:tc>
          <w:tcPr>
            <w:tcW w:w="1980" w:type="dxa"/>
            <w:tcBorders>
              <w:top w:val="nil"/>
              <w:left w:val="single" w:color="auto" w:sz="4" w:space="0"/>
              <w:bottom w:val="single" w:color="auto" w:sz="4" w:space="0"/>
              <w:right w:val="single" w:color="auto" w:sz="4" w:space="0"/>
            </w:tcBorders>
            <w:noWrap/>
            <w:vAlign w:val="bottom"/>
            <w:hideMark/>
          </w:tcPr>
          <w:p w:rsidRPr="006E0CB0" w:rsidR="006E0CB0" w:rsidP="00C07325" w:rsidRDefault="006E0CB0" w14:paraId="7B24BC58" w14:textId="77777777">
            <w:pPr>
              <w:ind w:right="-19" w:hanging="20"/>
              <w:jc w:val="right"/>
              <w:rPr>
                <w:rFonts w:eastAsia="Times New Roman"/>
                <w:b/>
                <w:bCs/>
                <w:sz w:val="20"/>
                <w:szCs w:val="20"/>
              </w:rPr>
            </w:pPr>
            <w:r w:rsidRPr="006E0CB0">
              <w:rPr>
                <w:rFonts w:eastAsia="Times New Roman"/>
                <w:b/>
                <w:bCs/>
                <w:sz w:val="20"/>
                <w:szCs w:val="20"/>
              </w:rPr>
              <w:t>5,007,253.05</w:t>
            </w:r>
          </w:p>
        </w:tc>
        <w:tc>
          <w:tcPr>
            <w:tcW w:w="1800" w:type="dxa"/>
            <w:tcBorders>
              <w:top w:val="nil"/>
              <w:left w:val="nil"/>
              <w:bottom w:val="single" w:color="auto" w:sz="4" w:space="0"/>
              <w:right w:val="single" w:color="auto" w:sz="4" w:space="0"/>
            </w:tcBorders>
            <w:noWrap/>
            <w:vAlign w:val="bottom"/>
            <w:hideMark/>
          </w:tcPr>
          <w:p w:rsidRPr="006E0CB0" w:rsidR="006E0CB0" w:rsidP="00C07325" w:rsidRDefault="006E0CB0" w14:paraId="4B5A7667" w14:textId="77777777">
            <w:pPr>
              <w:ind w:left="-20" w:right="-22" w:firstLine="20"/>
              <w:jc w:val="right"/>
              <w:rPr>
                <w:rFonts w:eastAsia="Times New Roman"/>
                <w:b/>
                <w:bCs/>
                <w:sz w:val="20"/>
                <w:szCs w:val="20"/>
              </w:rPr>
            </w:pPr>
            <w:r w:rsidRPr="006E0CB0">
              <w:rPr>
                <w:rFonts w:eastAsia="Times New Roman"/>
                <w:b/>
                <w:bCs/>
                <w:sz w:val="20"/>
                <w:szCs w:val="20"/>
              </w:rPr>
              <w:t>537,749.70</w:t>
            </w:r>
          </w:p>
        </w:tc>
        <w:tc>
          <w:tcPr>
            <w:tcW w:w="2044" w:type="dxa"/>
            <w:tcBorders>
              <w:top w:val="nil"/>
              <w:left w:val="nil"/>
              <w:bottom w:val="single" w:color="auto" w:sz="4" w:space="0"/>
              <w:right w:val="single" w:color="auto" w:sz="4" w:space="0"/>
            </w:tcBorders>
            <w:vAlign w:val="bottom"/>
            <w:hideMark/>
          </w:tcPr>
          <w:p w:rsidRPr="006E0CB0" w:rsidR="006E0CB0" w:rsidP="00C07325" w:rsidRDefault="006E0CB0" w14:paraId="687D1FC3" w14:textId="77777777">
            <w:pPr>
              <w:ind w:left="450" w:hanging="378"/>
              <w:jc w:val="right"/>
              <w:rPr>
                <w:rFonts w:eastAsia="Times New Roman"/>
                <w:b/>
                <w:bCs/>
                <w:sz w:val="20"/>
                <w:szCs w:val="20"/>
              </w:rPr>
            </w:pPr>
            <w:r w:rsidRPr="006E0CB0">
              <w:rPr>
                <w:rFonts w:eastAsia="Times New Roman"/>
                <w:b/>
                <w:bCs/>
                <w:sz w:val="20"/>
                <w:szCs w:val="20"/>
              </w:rPr>
              <w:t>5,545,002.75</w:t>
            </w:r>
          </w:p>
        </w:tc>
      </w:tr>
    </w:tbl>
    <w:p w:rsidR="00CC23C9" w:rsidP="001F265B" w:rsidRDefault="006E0CB0" w14:paraId="12F7D2D7" w14:textId="72E386CD">
      <w:pPr>
        <w:spacing w:after="160" w:line="300" w:lineRule="atLeast"/>
        <w:ind w:left="450" w:right="180"/>
        <w:jc w:val="both"/>
      </w:pPr>
      <w:r w:rsidRPr="006E0CB0">
        <w:rPr>
          <w:rFonts w:asciiTheme="minorHAnsi" w:hAnsiTheme="minorHAnsi" w:cstheme="minorHAnsi"/>
          <w:kern w:val="2"/>
          <w14:ligatures w14:val="standardContextual"/>
        </w:rPr>
        <w:t xml:space="preserve">As of the official </w:t>
      </w:r>
      <w:proofErr w:type="spellStart"/>
      <w:r w:rsidRPr="006E0CB0">
        <w:rPr>
          <w:rFonts w:asciiTheme="minorHAnsi" w:hAnsiTheme="minorHAnsi" w:cstheme="minorHAnsi"/>
          <w:kern w:val="2"/>
          <w14:ligatures w14:val="standardContextual"/>
        </w:rPr>
        <w:t>programme</w:t>
      </w:r>
      <w:proofErr w:type="spellEnd"/>
      <w:r w:rsidRPr="006E0CB0">
        <w:rPr>
          <w:rFonts w:asciiTheme="minorHAnsi" w:hAnsiTheme="minorHAnsi" w:cstheme="minorHAnsi"/>
          <w:kern w:val="2"/>
          <w14:ligatures w14:val="standardContextual"/>
        </w:rPr>
        <w:t xml:space="preserve"> end date, 28 February 2026, preliminary data confirm that the SDG2BiH Programme achieved a notably high financial utilization rate of USD </w:t>
      </w:r>
      <w:r w:rsidRPr="006E0CB0">
        <w:rPr>
          <w:rFonts w:eastAsia="Times New Roman"/>
        </w:rPr>
        <w:t>97.18 %.</w:t>
      </w:r>
      <w:r w:rsidRPr="006E0CB0">
        <w:rPr>
          <w:rFonts w:eastAsia="Times New Roman"/>
          <w:b/>
          <w:bCs/>
        </w:rPr>
        <w:t xml:space="preserve"> </w:t>
      </w:r>
      <w:r w:rsidRPr="006E0CB0">
        <w:rPr>
          <w:rFonts w:asciiTheme="minorHAnsi" w:hAnsiTheme="minorHAnsi" w:cstheme="minorHAnsi"/>
          <w:kern w:val="2"/>
          <w14:ligatures w14:val="standardContextual"/>
        </w:rPr>
        <w:t xml:space="preserve"> From the total SIDA contributed financing of USD 5,032,634.05, cumulative expenditures amount to USD 5,007,253.05, corresponding to a 99.50% utilization rate. </w:t>
      </w:r>
      <w:r w:rsidRPr="006E0CB0">
        <w:rPr>
          <w:rFonts w:eastAsia="Times New Roman" w:asciiTheme="minorHAnsi" w:hAnsiTheme="minorHAnsi" w:cstheme="minorHAnsi"/>
        </w:rPr>
        <w:t>Throughout the entire project duration, co</w:t>
      </w:r>
      <w:r w:rsidRPr="006E0CB0">
        <w:rPr>
          <w:rFonts w:eastAsia="Times New Roman" w:asciiTheme="minorHAnsi" w:hAnsiTheme="minorHAnsi" w:cstheme="minorHAnsi"/>
        </w:rPr>
        <w:noBreakHyphen/>
      </w:r>
      <w:r w:rsidRPr="006E0CB0">
        <w:rPr>
          <w:rFonts w:eastAsia="Times New Roman" w:asciiTheme="minorHAnsi" w:hAnsiTheme="minorHAnsi" w:cstheme="minorHAnsi"/>
        </w:rPr>
        <w:t>financing expenditures total USD 537,749.70, demonstrating strong national ownership, and sustained institutional commitment to the SDG agenda. Taken together, these results reflect</w:t>
      </w:r>
      <w:r w:rsidRPr="006E0CB0">
        <w:rPr>
          <w:rFonts w:asciiTheme="minorHAnsi" w:hAnsiTheme="minorHAnsi" w:cstheme="minorHAnsi"/>
          <w:kern w:val="2"/>
          <w14:ligatures w14:val="standardContextual"/>
        </w:rPr>
        <w:t xml:space="preserve"> rigorous financial planning and demonstrate that the </w:t>
      </w:r>
      <w:proofErr w:type="spellStart"/>
      <w:r w:rsidRPr="006E0CB0">
        <w:rPr>
          <w:rFonts w:asciiTheme="minorHAnsi" w:hAnsiTheme="minorHAnsi" w:cstheme="minorHAnsi"/>
          <w:kern w:val="2"/>
          <w14:ligatures w14:val="standardContextual"/>
        </w:rPr>
        <w:t>programme</w:t>
      </w:r>
      <w:proofErr w:type="spellEnd"/>
      <w:r w:rsidRPr="006E0CB0">
        <w:rPr>
          <w:rFonts w:asciiTheme="minorHAnsi" w:hAnsiTheme="minorHAnsi" w:cstheme="minorHAnsi"/>
          <w:kern w:val="2"/>
          <w14:ligatures w14:val="standardContextual"/>
        </w:rPr>
        <w:t xml:space="preserve"> resources are utilized efficiently, transparently, and fully in line with the approved work plan.</w:t>
      </w:r>
    </w:p>
    <w:sectPr w:rsidR="00CC23C9" w:rsidSect="00AA028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26CC" w:rsidP="00C11DA1" w:rsidRDefault="004326CC" w14:paraId="7575EBC5" w14:textId="77777777">
      <w:r>
        <w:separator/>
      </w:r>
    </w:p>
  </w:endnote>
  <w:endnote w:type="continuationSeparator" w:id="0">
    <w:p w:rsidR="004326CC" w:rsidP="00C11DA1" w:rsidRDefault="004326CC" w14:paraId="62646568" w14:textId="77777777">
      <w:r>
        <w:continuationSeparator/>
      </w:r>
    </w:p>
  </w:endnote>
  <w:endnote w:type="continuationNotice" w:id="1">
    <w:p w:rsidR="004326CC" w:rsidRDefault="004326CC" w14:paraId="6C05EF8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Body">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sdt>
    <w:sdtPr>
      <w:id w:val="456454293"/>
      <w:docPartObj>
        <w:docPartGallery w:val="Page Numbers (Bottom of Page)"/>
        <w:docPartUnique/>
      </w:docPartObj>
    </w:sdtPr>
    <w:sdtEndPr>
      <w:rPr>
        <w:noProof/>
      </w:rPr>
    </w:sdtEndPr>
    <w:sdtContent>
      <w:p w:rsidR="005774DE" w:rsidRDefault="005774DE" w14:paraId="6B4077F7"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774DE" w:rsidRDefault="00CC22AF" w14:paraId="234739EA" w14:textId="77777777">
    <w:r w:rsidRPr="0015275D">
      <w:rPr>
        <w:noProof/>
      </w:rPr>
      <w:drawing>
        <wp:inline distT="0" distB="0" distL="0" distR="0" wp14:anchorId="773FB3A4" wp14:editId="61DB84E6">
          <wp:extent cx="6400800" cy="2959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40550" name=""/>
                  <pic:cNvPicPr/>
                </pic:nvPicPr>
                <pic:blipFill>
                  <a:blip r:embed="rId1"/>
                  <a:stretch>
                    <a:fillRect/>
                  </a:stretch>
                </pic:blipFill>
                <pic:spPr>
                  <a:xfrm>
                    <a:off x="0" y="0"/>
                    <a:ext cx="6400800" cy="295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26CC" w:rsidP="00C11DA1" w:rsidRDefault="004326CC" w14:paraId="19A80382" w14:textId="77777777">
      <w:bookmarkStart w:name="_Hlk78369226" w:id="0"/>
      <w:bookmarkEnd w:id="0"/>
      <w:r>
        <w:separator/>
      </w:r>
    </w:p>
  </w:footnote>
  <w:footnote w:type="continuationSeparator" w:id="0">
    <w:p w:rsidR="004326CC" w:rsidP="00C11DA1" w:rsidRDefault="004326CC" w14:paraId="2C827163" w14:textId="77777777">
      <w:r>
        <w:continuationSeparator/>
      </w:r>
    </w:p>
  </w:footnote>
  <w:footnote w:type="continuationNotice" w:id="1">
    <w:p w:rsidR="004326CC" w:rsidRDefault="004326CC" w14:paraId="1C659B08" w14:textId="77777777"/>
  </w:footnote>
  <w:footnote w:id="2">
    <w:p w:rsidRPr="003F736F" w:rsidR="00432A57" w:rsidP="00432A57" w:rsidRDefault="00432A57" w14:paraId="6E767030" w14:textId="77777777">
      <w:pPr>
        <w:pStyle w:val="FootnoteText"/>
        <w:rPr>
          <w:lang w:val="en-US"/>
        </w:rPr>
      </w:pPr>
      <w:r>
        <w:rPr>
          <w:rStyle w:val="FootnoteReference"/>
        </w:rPr>
        <w:footnoteRef/>
      </w:r>
      <w:r>
        <w:t xml:space="preserve"> </w:t>
      </w:r>
      <w:r>
        <w:rPr>
          <w:lang w:val="en-US"/>
        </w:rPr>
        <w:t>Baseline Study on Care Economy in Bosnia and Herzegovina, UN Women, 2023</w:t>
      </w:r>
    </w:p>
  </w:footnote>
  <w:footnote w:id="3">
    <w:p w:rsidR="004C4606" w:rsidP="004C4606" w:rsidRDefault="004C4606" w14:paraId="50BACC6F" w14:textId="77777777">
      <w:pPr>
        <w:jc w:val="both"/>
        <w:rPr>
          <w:rFonts w:eastAsia="Calibri"/>
        </w:rPr>
      </w:pPr>
      <w:r>
        <w:rPr>
          <w:rStyle w:val="FootnoteReference"/>
        </w:rPr>
        <w:footnoteRef/>
      </w:r>
      <w:r>
        <w:t xml:space="preserve"> </w:t>
      </w:r>
      <w:r w:rsidRPr="412BA771">
        <w:rPr>
          <w:rFonts w:eastAsia="Calibri"/>
        </w:rPr>
        <w:t>Bonds that support women’s empowerment and gender equality (SDG Financing Framework, 2023).</w:t>
      </w:r>
    </w:p>
    <w:p w:rsidRPr="004C4606" w:rsidR="004C4606" w:rsidRDefault="004C4606" w14:paraId="2941A6DA" w14:textId="77777777">
      <w:pPr>
        <w:pStyle w:val="FootnoteText"/>
        <w:rPr>
          <w:lang w:val="bs-Latn-BA"/>
        </w:rPr>
      </w:pPr>
    </w:p>
  </w:footnote>
  <w:footnote w:id="4">
    <w:p w:rsidRPr="00227BD2" w:rsidR="006E0CB0" w:rsidP="006E0CB0" w:rsidRDefault="006E0CB0" w14:paraId="3A153515" w14:textId="4BE6A4C6">
      <w:pPr>
        <w:pStyle w:val="FootnoteText"/>
        <w:rPr>
          <w:sz w:val="16"/>
          <w:szCs w:val="16"/>
        </w:rPr>
      </w:pPr>
      <w:r>
        <w:rPr>
          <w:rStyle w:val="FootnoteReference"/>
        </w:rPr>
        <w:footnoteRef/>
      </w:r>
      <w:r>
        <w:t xml:space="preserve"> </w:t>
      </w:r>
      <w:r w:rsidRPr="00227BD2">
        <w:rPr>
          <w:sz w:val="16"/>
          <w:szCs w:val="16"/>
        </w:rPr>
        <w:t>All figures presented for 2025 represent preliminary dat</w:t>
      </w:r>
      <w:r>
        <w:rPr>
          <w:sz w:val="16"/>
          <w:szCs w:val="16"/>
        </w:rPr>
        <w:t>a</w:t>
      </w:r>
      <w:r w:rsidR="00C07325">
        <w:rPr>
          <w:sz w:val="16"/>
          <w:szCs w:val="16"/>
        </w:rPr>
        <w:t>.</w:t>
      </w:r>
    </w:p>
  </w:footnote>
  <w:footnote w:id="5">
    <w:p w:rsidRPr="00227BD2" w:rsidR="006E0CB0" w:rsidP="006E0CB0" w:rsidRDefault="006E0CB0" w14:paraId="5AA23095" w14:textId="77777777">
      <w:pPr>
        <w:pStyle w:val="FootnoteText"/>
        <w:rPr>
          <w:lang w:val="bs-Latn-BA"/>
        </w:rPr>
      </w:pPr>
      <w:r>
        <w:rPr>
          <w:rStyle w:val="FootnoteReference"/>
        </w:rPr>
        <w:footnoteRef/>
      </w:r>
      <w:r>
        <w:t xml:space="preserve"> </w:t>
      </w:r>
      <w:r w:rsidRPr="00227BD2">
        <w:rPr>
          <w:sz w:val="16"/>
          <w:szCs w:val="16"/>
        </w:rPr>
        <w:t xml:space="preserve">Expenditures for 2026 </w:t>
      </w:r>
      <w:r w:rsidRPr="0046200F">
        <w:rPr>
          <w:sz w:val="16"/>
          <w:szCs w:val="16"/>
        </w:rPr>
        <w:t>remain subject to reconciliation and adjustment following the completion of final financial closure procedures, including the consolidation of financial records, review of outstanding advances, and confirmation of remaining obligations.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774DE" w:rsidP="00A46227" w:rsidRDefault="005774DE" w14:paraId="651EB2DA" w14:textId="77777777">
    <w:pPr>
      <w:pStyle w:val="Header"/>
      <w:tabs>
        <w:tab w:val="clear" w:pos="9360"/>
        <w:tab w:val="right" w:pos="10065"/>
      </w:tabs>
    </w:pPr>
    <w:r w:rsidRPr="18426616">
      <w:rPr>
        <w:rFonts w:asciiTheme="minorHAnsi" w:hAnsiTheme="minorHAnsi"/>
      </w:rPr>
      <w:t xml:space="preserve">                          </w:t>
    </w:r>
    <w:r w:rsidRPr="2AA76741">
      <w:rPr>
        <w:rFonts w:asciiTheme="minorHAnsi" w:hAnsiTheme="minorHAnsi"/>
      </w:rPr>
      <w:t xml:space="preserve">                             </w:t>
    </w:r>
    <w:r w:rsidRPr="51B6308D">
      <w:rPr>
        <w:rFonts w:asciiTheme="minorHAnsi" w:hAnsiTheme="minorHAnsi"/>
      </w:rPr>
      <w:t xml:space="preserve">           </w:t>
    </w:r>
    <w:r w:rsidR="00647CEA">
      <w:rPr>
        <w:noProof/>
      </w:rPr>
      <w:drawing>
        <wp:inline distT="0" distB="0" distL="0" distR="0" wp14:anchorId="3D86622B" wp14:editId="6770D3B3">
          <wp:extent cx="6400800" cy="349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393031" name=""/>
                  <pic:cNvPicPr/>
                </pic:nvPicPr>
                <pic:blipFill>
                  <a:blip r:embed="rId1"/>
                  <a:stretch>
                    <a:fillRect/>
                  </a:stretch>
                </pic:blipFill>
                <pic:spPr>
                  <a:xfrm>
                    <a:off x="0" y="0"/>
                    <a:ext cx="6400800" cy="349250"/>
                  </a:xfrm>
                  <a:prstGeom prst="rect">
                    <a:avLst/>
                  </a:prstGeom>
                </pic:spPr>
              </pic:pic>
            </a:graphicData>
          </a:graphic>
        </wp:inline>
      </w:drawing>
    </w:r>
  </w:p>
  <w:p w:rsidR="005774DE" w:rsidRDefault="005774DE" w14:paraId="65C030D5"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71" style="width:11.4pt;height:11.4pt" o:bullet="t" type="#_x0000_t75">
        <v:imagedata o:title="BD14565_" r:id="rId1"/>
      </v:shape>
    </w:pict>
  </w:numPicBullet>
  <w:abstractNum w:abstractNumId="0" w15:restartNumberingAfterBreak="0">
    <w:nsid w:val="C6E5678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63FD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140B3"/>
    <w:multiLevelType w:val="hybridMultilevel"/>
    <w:tmpl w:val="AFEA394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B0CB5F"/>
    <w:multiLevelType w:val="hybridMultilevel"/>
    <w:tmpl w:val="FFFFFFFF"/>
    <w:lvl w:ilvl="0" w:tplc="F12A7A3E">
      <w:start w:val="1"/>
      <w:numFmt w:val="bullet"/>
      <w:lvlText w:val=""/>
      <w:lvlJc w:val="left"/>
      <w:pPr>
        <w:ind w:left="720" w:hanging="360"/>
      </w:pPr>
      <w:rPr>
        <w:rFonts w:hint="default" w:ascii="Symbol" w:hAnsi="Symbol"/>
      </w:rPr>
    </w:lvl>
    <w:lvl w:ilvl="1" w:tplc="318E8AA2">
      <w:start w:val="1"/>
      <w:numFmt w:val="bullet"/>
      <w:lvlText w:val="o"/>
      <w:lvlJc w:val="left"/>
      <w:pPr>
        <w:ind w:left="1440" w:hanging="360"/>
      </w:pPr>
      <w:rPr>
        <w:rFonts w:hint="default" w:ascii="Courier New" w:hAnsi="Courier New"/>
      </w:rPr>
    </w:lvl>
    <w:lvl w:ilvl="2" w:tplc="F3BC20FE">
      <w:start w:val="1"/>
      <w:numFmt w:val="bullet"/>
      <w:lvlText w:val=""/>
      <w:lvlJc w:val="left"/>
      <w:pPr>
        <w:ind w:left="2160" w:hanging="360"/>
      </w:pPr>
      <w:rPr>
        <w:rFonts w:hint="default" w:ascii="Wingdings" w:hAnsi="Wingdings"/>
      </w:rPr>
    </w:lvl>
    <w:lvl w:ilvl="3" w:tplc="19E01950">
      <w:start w:val="1"/>
      <w:numFmt w:val="bullet"/>
      <w:lvlText w:val=""/>
      <w:lvlJc w:val="left"/>
      <w:pPr>
        <w:ind w:left="2880" w:hanging="360"/>
      </w:pPr>
      <w:rPr>
        <w:rFonts w:hint="default" w:ascii="Symbol" w:hAnsi="Symbol"/>
      </w:rPr>
    </w:lvl>
    <w:lvl w:ilvl="4" w:tplc="6D3AD2E8">
      <w:start w:val="1"/>
      <w:numFmt w:val="bullet"/>
      <w:lvlText w:val="o"/>
      <w:lvlJc w:val="left"/>
      <w:pPr>
        <w:ind w:left="3600" w:hanging="360"/>
      </w:pPr>
      <w:rPr>
        <w:rFonts w:hint="default" w:ascii="Courier New" w:hAnsi="Courier New"/>
      </w:rPr>
    </w:lvl>
    <w:lvl w:ilvl="5" w:tplc="AE3CCEDE">
      <w:start w:val="1"/>
      <w:numFmt w:val="bullet"/>
      <w:lvlText w:val=""/>
      <w:lvlJc w:val="left"/>
      <w:pPr>
        <w:ind w:left="4320" w:hanging="360"/>
      </w:pPr>
      <w:rPr>
        <w:rFonts w:hint="default" w:ascii="Wingdings" w:hAnsi="Wingdings"/>
      </w:rPr>
    </w:lvl>
    <w:lvl w:ilvl="6" w:tplc="B6D83346">
      <w:start w:val="1"/>
      <w:numFmt w:val="bullet"/>
      <w:lvlText w:val=""/>
      <w:lvlJc w:val="left"/>
      <w:pPr>
        <w:ind w:left="5040" w:hanging="360"/>
      </w:pPr>
      <w:rPr>
        <w:rFonts w:hint="default" w:ascii="Symbol" w:hAnsi="Symbol"/>
      </w:rPr>
    </w:lvl>
    <w:lvl w:ilvl="7" w:tplc="6D38973A">
      <w:start w:val="1"/>
      <w:numFmt w:val="bullet"/>
      <w:lvlText w:val="o"/>
      <w:lvlJc w:val="left"/>
      <w:pPr>
        <w:ind w:left="5760" w:hanging="360"/>
      </w:pPr>
      <w:rPr>
        <w:rFonts w:hint="default" w:ascii="Courier New" w:hAnsi="Courier New"/>
      </w:rPr>
    </w:lvl>
    <w:lvl w:ilvl="8" w:tplc="175EECFC">
      <w:start w:val="1"/>
      <w:numFmt w:val="bullet"/>
      <w:lvlText w:val=""/>
      <w:lvlJc w:val="left"/>
      <w:pPr>
        <w:ind w:left="6480" w:hanging="360"/>
      </w:pPr>
      <w:rPr>
        <w:rFonts w:hint="default" w:ascii="Wingdings" w:hAnsi="Wingdings"/>
      </w:rPr>
    </w:lvl>
  </w:abstractNum>
  <w:abstractNum w:abstractNumId="4" w15:restartNumberingAfterBreak="0">
    <w:nsid w:val="08D15F2B"/>
    <w:multiLevelType w:val="hybridMultilevel"/>
    <w:tmpl w:val="800247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A3AF0E4"/>
    <w:multiLevelType w:val="hybridMultilevel"/>
    <w:tmpl w:val="FFFFFFFF"/>
    <w:lvl w:ilvl="0" w:tplc="FA9247FE">
      <w:start w:val="1"/>
      <w:numFmt w:val="bullet"/>
      <w:lvlText w:val="·"/>
      <w:lvlJc w:val="left"/>
      <w:pPr>
        <w:ind w:left="720" w:hanging="360"/>
      </w:pPr>
      <w:rPr>
        <w:rFonts w:hint="default" w:ascii="Symbol" w:hAnsi="Symbol"/>
      </w:rPr>
    </w:lvl>
    <w:lvl w:ilvl="1" w:tplc="64E88228">
      <w:start w:val="1"/>
      <w:numFmt w:val="bullet"/>
      <w:lvlText w:val="o"/>
      <w:lvlJc w:val="left"/>
      <w:pPr>
        <w:ind w:left="1440" w:hanging="360"/>
      </w:pPr>
      <w:rPr>
        <w:rFonts w:hint="default" w:ascii="Courier New" w:hAnsi="Courier New"/>
      </w:rPr>
    </w:lvl>
    <w:lvl w:ilvl="2" w:tplc="B05089E8">
      <w:start w:val="1"/>
      <w:numFmt w:val="bullet"/>
      <w:lvlText w:val=""/>
      <w:lvlJc w:val="left"/>
      <w:pPr>
        <w:ind w:left="2160" w:hanging="360"/>
      </w:pPr>
      <w:rPr>
        <w:rFonts w:hint="default" w:ascii="Wingdings" w:hAnsi="Wingdings"/>
      </w:rPr>
    </w:lvl>
    <w:lvl w:ilvl="3" w:tplc="27A2E77C">
      <w:start w:val="1"/>
      <w:numFmt w:val="bullet"/>
      <w:lvlText w:val=""/>
      <w:lvlJc w:val="left"/>
      <w:pPr>
        <w:ind w:left="2880" w:hanging="360"/>
      </w:pPr>
      <w:rPr>
        <w:rFonts w:hint="default" w:ascii="Symbol" w:hAnsi="Symbol"/>
      </w:rPr>
    </w:lvl>
    <w:lvl w:ilvl="4" w:tplc="3C90C9D2">
      <w:start w:val="1"/>
      <w:numFmt w:val="bullet"/>
      <w:lvlText w:val="o"/>
      <w:lvlJc w:val="left"/>
      <w:pPr>
        <w:ind w:left="3600" w:hanging="360"/>
      </w:pPr>
      <w:rPr>
        <w:rFonts w:hint="default" w:ascii="Courier New" w:hAnsi="Courier New"/>
      </w:rPr>
    </w:lvl>
    <w:lvl w:ilvl="5" w:tplc="365CF33E">
      <w:start w:val="1"/>
      <w:numFmt w:val="bullet"/>
      <w:lvlText w:val=""/>
      <w:lvlJc w:val="left"/>
      <w:pPr>
        <w:ind w:left="4320" w:hanging="360"/>
      </w:pPr>
      <w:rPr>
        <w:rFonts w:hint="default" w:ascii="Wingdings" w:hAnsi="Wingdings"/>
      </w:rPr>
    </w:lvl>
    <w:lvl w:ilvl="6" w:tplc="25861276">
      <w:start w:val="1"/>
      <w:numFmt w:val="bullet"/>
      <w:lvlText w:val=""/>
      <w:lvlJc w:val="left"/>
      <w:pPr>
        <w:ind w:left="5040" w:hanging="360"/>
      </w:pPr>
      <w:rPr>
        <w:rFonts w:hint="default" w:ascii="Symbol" w:hAnsi="Symbol"/>
      </w:rPr>
    </w:lvl>
    <w:lvl w:ilvl="7" w:tplc="AC5A9398">
      <w:start w:val="1"/>
      <w:numFmt w:val="bullet"/>
      <w:lvlText w:val="o"/>
      <w:lvlJc w:val="left"/>
      <w:pPr>
        <w:ind w:left="5760" w:hanging="360"/>
      </w:pPr>
      <w:rPr>
        <w:rFonts w:hint="default" w:ascii="Courier New" w:hAnsi="Courier New"/>
      </w:rPr>
    </w:lvl>
    <w:lvl w:ilvl="8" w:tplc="A39E7284">
      <w:start w:val="1"/>
      <w:numFmt w:val="bullet"/>
      <w:lvlText w:val=""/>
      <w:lvlJc w:val="left"/>
      <w:pPr>
        <w:ind w:left="6480" w:hanging="360"/>
      </w:pPr>
      <w:rPr>
        <w:rFonts w:hint="default" w:ascii="Wingdings" w:hAnsi="Wingdings"/>
      </w:rPr>
    </w:lvl>
  </w:abstractNum>
  <w:abstractNum w:abstractNumId="6" w15:restartNumberingAfterBreak="0">
    <w:nsid w:val="0A3F6312"/>
    <w:multiLevelType w:val="hybridMultilevel"/>
    <w:tmpl w:val="FFFFFFFF"/>
    <w:lvl w:ilvl="0" w:tplc="0130F802">
      <w:start w:val="1"/>
      <w:numFmt w:val="bullet"/>
      <w:lvlText w:val="·"/>
      <w:lvlJc w:val="left"/>
      <w:pPr>
        <w:ind w:left="720" w:hanging="360"/>
      </w:pPr>
      <w:rPr>
        <w:rFonts w:hint="default" w:ascii="Symbol" w:hAnsi="Symbol"/>
      </w:rPr>
    </w:lvl>
    <w:lvl w:ilvl="1" w:tplc="1B1693DE">
      <w:start w:val="1"/>
      <w:numFmt w:val="bullet"/>
      <w:lvlText w:val="o"/>
      <w:lvlJc w:val="left"/>
      <w:pPr>
        <w:ind w:left="1440" w:hanging="360"/>
      </w:pPr>
      <w:rPr>
        <w:rFonts w:hint="default" w:ascii="Courier New" w:hAnsi="Courier New"/>
      </w:rPr>
    </w:lvl>
    <w:lvl w:ilvl="2" w:tplc="37566928">
      <w:start w:val="1"/>
      <w:numFmt w:val="bullet"/>
      <w:lvlText w:val=""/>
      <w:lvlJc w:val="left"/>
      <w:pPr>
        <w:ind w:left="2160" w:hanging="360"/>
      </w:pPr>
      <w:rPr>
        <w:rFonts w:hint="default" w:ascii="Wingdings" w:hAnsi="Wingdings"/>
      </w:rPr>
    </w:lvl>
    <w:lvl w:ilvl="3" w:tplc="83EA51AE">
      <w:start w:val="1"/>
      <w:numFmt w:val="bullet"/>
      <w:lvlText w:val=""/>
      <w:lvlJc w:val="left"/>
      <w:pPr>
        <w:ind w:left="2880" w:hanging="360"/>
      </w:pPr>
      <w:rPr>
        <w:rFonts w:hint="default" w:ascii="Symbol" w:hAnsi="Symbol"/>
      </w:rPr>
    </w:lvl>
    <w:lvl w:ilvl="4" w:tplc="F3C8EF10">
      <w:start w:val="1"/>
      <w:numFmt w:val="bullet"/>
      <w:lvlText w:val="o"/>
      <w:lvlJc w:val="left"/>
      <w:pPr>
        <w:ind w:left="3600" w:hanging="360"/>
      </w:pPr>
      <w:rPr>
        <w:rFonts w:hint="default" w:ascii="Courier New" w:hAnsi="Courier New"/>
      </w:rPr>
    </w:lvl>
    <w:lvl w:ilvl="5" w:tplc="D89C7E7A">
      <w:start w:val="1"/>
      <w:numFmt w:val="bullet"/>
      <w:lvlText w:val=""/>
      <w:lvlJc w:val="left"/>
      <w:pPr>
        <w:ind w:left="4320" w:hanging="360"/>
      </w:pPr>
      <w:rPr>
        <w:rFonts w:hint="default" w:ascii="Wingdings" w:hAnsi="Wingdings"/>
      </w:rPr>
    </w:lvl>
    <w:lvl w:ilvl="6" w:tplc="ACBACA1C">
      <w:start w:val="1"/>
      <w:numFmt w:val="bullet"/>
      <w:lvlText w:val=""/>
      <w:lvlJc w:val="left"/>
      <w:pPr>
        <w:ind w:left="5040" w:hanging="360"/>
      </w:pPr>
      <w:rPr>
        <w:rFonts w:hint="default" w:ascii="Symbol" w:hAnsi="Symbol"/>
      </w:rPr>
    </w:lvl>
    <w:lvl w:ilvl="7" w:tplc="09EE494A">
      <w:start w:val="1"/>
      <w:numFmt w:val="bullet"/>
      <w:lvlText w:val="o"/>
      <w:lvlJc w:val="left"/>
      <w:pPr>
        <w:ind w:left="5760" w:hanging="360"/>
      </w:pPr>
      <w:rPr>
        <w:rFonts w:hint="default" w:ascii="Courier New" w:hAnsi="Courier New"/>
      </w:rPr>
    </w:lvl>
    <w:lvl w:ilvl="8" w:tplc="F09C3F64">
      <w:start w:val="1"/>
      <w:numFmt w:val="bullet"/>
      <w:lvlText w:val=""/>
      <w:lvlJc w:val="left"/>
      <w:pPr>
        <w:ind w:left="6480" w:hanging="360"/>
      </w:pPr>
      <w:rPr>
        <w:rFonts w:hint="default" w:ascii="Wingdings" w:hAnsi="Wingdings"/>
      </w:rPr>
    </w:lvl>
  </w:abstractNum>
  <w:abstractNum w:abstractNumId="7" w15:restartNumberingAfterBreak="0">
    <w:nsid w:val="0A936842"/>
    <w:multiLevelType w:val="multilevel"/>
    <w:tmpl w:val="0BCE52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D1918B3"/>
    <w:multiLevelType w:val="hybridMultilevel"/>
    <w:tmpl w:val="8BAE32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EF620C8"/>
    <w:multiLevelType w:val="hybridMultilevel"/>
    <w:tmpl w:val="FFFFFFFF"/>
    <w:lvl w:ilvl="0" w:tplc="1EDAF0B4">
      <w:start w:val="1"/>
      <w:numFmt w:val="bullet"/>
      <w:lvlText w:val="·"/>
      <w:lvlJc w:val="left"/>
      <w:pPr>
        <w:ind w:left="720" w:hanging="360"/>
      </w:pPr>
      <w:rPr>
        <w:rFonts w:hint="default" w:ascii="Symbol" w:hAnsi="Symbol"/>
      </w:rPr>
    </w:lvl>
    <w:lvl w:ilvl="1" w:tplc="B7D4ADC4">
      <w:start w:val="1"/>
      <w:numFmt w:val="bullet"/>
      <w:lvlText w:val="o"/>
      <w:lvlJc w:val="left"/>
      <w:pPr>
        <w:ind w:left="1440" w:hanging="360"/>
      </w:pPr>
      <w:rPr>
        <w:rFonts w:hint="default" w:ascii="Courier New" w:hAnsi="Courier New"/>
      </w:rPr>
    </w:lvl>
    <w:lvl w:ilvl="2" w:tplc="E3D867F0">
      <w:start w:val="1"/>
      <w:numFmt w:val="bullet"/>
      <w:lvlText w:val=""/>
      <w:lvlJc w:val="left"/>
      <w:pPr>
        <w:ind w:left="2160" w:hanging="360"/>
      </w:pPr>
      <w:rPr>
        <w:rFonts w:hint="default" w:ascii="Wingdings" w:hAnsi="Wingdings"/>
      </w:rPr>
    </w:lvl>
    <w:lvl w:ilvl="3" w:tplc="E9A29BF8">
      <w:start w:val="1"/>
      <w:numFmt w:val="bullet"/>
      <w:lvlText w:val=""/>
      <w:lvlJc w:val="left"/>
      <w:pPr>
        <w:ind w:left="2880" w:hanging="360"/>
      </w:pPr>
      <w:rPr>
        <w:rFonts w:hint="default" w:ascii="Symbol" w:hAnsi="Symbol"/>
      </w:rPr>
    </w:lvl>
    <w:lvl w:ilvl="4" w:tplc="26783626">
      <w:start w:val="1"/>
      <w:numFmt w:val="bullet"/>
      <w:lvlText w:val="o"/>
      <w:lvlJc w:val="left"/>
      <w:pPr>
        <w:ind w:left="3600" w:hanging="360"/>
      </w:pPr>
      <w:rPr>
        <w:rFonts w:hint="default" w:ascii="Courier New" w:hAnsi="Courier New"/>
      </w:rPr>
    </w:lvl>
    <w:lvl w:ilvl="5" w:tplc="DB9EEEF4">
      <w:start w:val="1"/>
      <w:numFmt w:val="bullet"/>
      <w:lvlText w:val=""/>
      <w:lvlJc w:val="left"/>
      <w:pPr>
        <w:ind w:left="4320" w:hanging="360"/>
      </w:pPr>
      <w:rPr>
        <w:rFonts w:hint="default" w:ascii="Wingdings" w:hAnsi="Wingdings"/>
      </w:rPr>
    </w:lvl>
    <w:lvl w:ilvl="6" w:tplc="9662CC7C">
      <w:start w:val="1"/>
      <w:numFmt w:val="bullet"/>
      <w:lvlText w:val=""/>
      <w:lvlJc w:val="left"/>
      <w:pPr>
        <w:ind w:left="5040" w:hanging="360"/>
      </w:pPr>
      <w:rPr>
        <w:rFonts w:hint="default" w:ascii="Symbol" w:hAnsi="Symbol"/>
      </w:rPr>
    </w:lvl>
    <w:lvl w:ilvl="7" w:tplc="421CB052">
      <w:start w:val="1"/>
      <w:numFmt w:val="bullet"/>
      <w:lvlText w:val="o"/>
      <w:lvlJc w:val="left"/>
      <w:pPr>
        <w:ind w:left="5760" w:hanging="360"/>
      </w:pPr>
      <w:rPr>
        <w:rFonts w:hint="default" w:ascii="Courier New" w:hAnsi="Courier New"/>
      </w:rPr>
    </w:lvl>
    <w:lvl w:ilvl="8" w:tplc="CD6063CC">
      <w:start w:val="1"/>
      <w:numFmt w:val="bullet"/>
      <w:lvlText w:val=""/>
      <w:lvlJc w:val="left"/>
      <w:pPr>
        <w:ind w:left="6480" w:hanging="360"/>
      </w:pPr>
      <w:rPr>
        <w:rFonts w:hint="default" w:ascii="Wingdings" w:hAnsi="Wingdings"/>
      </w:rPr>
    </w:lvl>
  </w:abstractNum>
  <w:abstractNum w:abstractNumId="10" w15:restartNumberingAfterBreak="0">
    <w:nsid w:val="12DE7CEB"/>
    <w:multiLevelType w:val="hybridMultilevel"/>
    <w:tmpl w:val="7F485A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182D2698"/>
    <w:multiLevelType w:val="hybridMultilevel"/>
    <w:tmpl w:val="9E56D3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237506DC"/>
    <w:multiLevelType w:val="hybridMultilevel"/>
    <w:tmpl w:val="7898C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AC394E"/>
    <w:multiLevelType w:val="hybridMultilevel"/>
    <w:tmpl w:val="6CCA1B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5A67990"/>
    <w:multiLevelType w:val="hybridMultilevel"/>
    <w:tmpl w:val="AB149C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6C5081F"/>
    <w:multiLevelType w:val="hybridMultilevel"/>
    <w:tmpl w:val="CD9A45D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26D3323A"/>
    <w:multiLevelType w:val="hybridMultilevel"/>
    <w:tmpl w:val="4D02C8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26F41E46"/>
    <w:multiLevelType w:val="hybridMultilevel"/>
    <w:tmpl w:val="2E446D46"/>
    <w:lvl w:ilvl="0" w:tplc="64A6C38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869113D"/>
    <w:multiLevelType w:val="hybridMultilevel"/>
    <w:tmpl w:val="F4285F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BC2E731"/>
    <w:multiLevelType w:val="hybridMultilevel"/>
    <w:tmpl w:val="FFFFFFFF"/>
    <w:lvl w:ilvl="0" w:tplc="D27EBA0C">
      <w:start w:val="1"/>
      <w:numFmt w:val="bullet"/>
      <w:lvlText w:val=""/>
      <w:lvlJc w:val="left"/>
      <w:pPr>
        <w:ind w:left="720" w:hanging="360"/>
      </w:pPr>
      <w:rPr>
        <w:rFonts w:hint="default" w:ascii="Symbol" w:hAnsi="Symbol"/>
      </w:rPr>
    </w:lvl>
    <w:lvl w:ilvl="1" w:tplc="D96C8564">
      <w:start w:val="1"/>
      <w:numFmt w:val="bullet"/>
      <w:lvlText w:val="o"/>
      <w:lvlJc w:val="left"/>
      <w:pPr>
        <w:ind w:left="1440" w:hanging="360"/>
      </w:pPr>
      <w:rPr>
        <w:rFonts w:hint="default" w:ascii="Courier New" w:hAnsi="Courier New"/>
      </w:rPr>
    </w:lvl>
    <w:lvl w:ilvl="2" w:tplc="B8448E66">
      <w:start w:val="1"/>
      <w:numFmt w:val="bullet"/>
      <w:lvlText w:val=""/>
      <w:lvlJc w:val="left"/>
      <w:pPr>
        <w:ind w:left="2160" w:hanging="360"/>
      </w:pPr>
      <w:rPr>
        <w:rFonts w:hint="default" w:ascii="Wingdings" w:hAnsi="Wingdings"/>
      </w:rPr>
    </w:lvl>
    <w:lvl w:ilvl="3" w:tplc="484013E6">
      <w:start w:val="1"/>
      <w:numFmt w:val="bullet"/>
      <w:lvlText w:val=""/>
      <w:lvlJc w:val="left"/>
      <w:pPr>
        <w:ind w:left="2880" w:hanging="360"/>
      </w:pPr>
      <w:rPr>
        <w:rFonts w:hint="default" w:ascii="Symbol" w:hAnsi="Symbol"/>
      </w:rPr>
    </w:lvl>
    <w:lvl w:ilvl="4" w:tplc="B4967E4A">
      <w:start w:val="1"/>
      <w:numFmt w:val="bullet"/>
      <w:lvlText w:val="o"/>
      <w:lvlJc w:val="left"/>
      <w:pPr>
        <w:ind w:left="3600" w:hanging="360"/>
      </w:pPr>
      <w:rPr>
        <w:rFonts w:hint="default" w:ascii="Courier New" w:hAnsi="Courier New"/>
      </w:rPr>
    </w:lvl>
    <w:lvl w:ilvl="5" w:tplc="79F41654">
      <w:start w:val="1"/>
      <w:numFmt w:val="bullet"/>
      <w:lvlText w:val=""/>
      <w:lvlJc w:val="left"/>
      <w:pPr>
        <w:ind w:left="4320" w:hanging="360"/>
      </w:pPr>
      <w:rPr>
        <w:rFonts w:hint="default" w:ascii="Wingdings" w:hAnsi="Wingdings"/>
      </w:rPr>
    </w:lvl>
    <w:lvl w:ilvl="6" w:tplc="14044708">
      <w:start w:val="1"/>
      <w:numFmt w:val="bullet"/>
      <w:lvlText w:val=""/>
      <w:lvlJc w:val="left"/>
      <w:pPr>
        <w:ind w:left="5040" w:hanging="360"/>
      </w:pPr>
      <w:rPr>
        <w:rFonts w:hint="default" w:ascii="Symbol" w:hAnsi="Symbol"/>
      </w:rPr>
    </w:lvl>
    <w:lvl w:ilvl="7" w:tplc="58BED37C">
      <w:start w:val="1"/>
      <w:numFmt w:val="bullet"/>
      <w:lvlText w:val="o"/>
      <w:lvlJc w:val="left"/>
      <w:pPr>
        <w:ind w:left="5760" w:hanging="360"/>
      </w:pPr>
      <w:rPr>
        <w:rFonts w:hint="default" w:ascii="Courier New" w:hAnsi="Courier New"/>
      </w:rPr>
    </w:lvl>
    <w:lvl w:ilvl="8" w:tplc="E410BA9E">
      <w:start w:val="1"/>
      <w:numFmt w:val="bullet"/>
      <w:lvlText w:val=""/>
      <w:lvlJc w:val="left"/>
      <w:pPr>
        <w:ind w:left="6480" w:hanging="360"/>
      </w:pPr>
      <w:rPr>
        <w:rFonts w:hint="default" w:ascii="Wingdings" w:hAnsi="Wingdings"/>
      </w:rPr>
    </w:lvl>
  </w:abstractNum>
  <w:abstractNum w:abstractNumId="20" w15:restartNumberingAfterBreak="0">
    <w:nsid w:val="32400CBB"/>
    <w:multiLevelType w:val="hybridMultilevel"/>
    <w:tmpl w:val="15828A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5E54C67"/>
    <w:multiLevelType w:val="hybridMultilevel"/>
    <w:tmpl w:val="B3DCA46A"/>
    <w:lvl w:ilvl="0" w:tplc="27C86E2A">
      <w:numFmt w:val="bullet"/>
      <w:lvlText w:val="-"/>
      <w:lvlJc w:val="left"/>
      <w:pPr>
        <w:ind w:left="360" w:hanging="360"/>
      </w:pPr>
      <w:rPr>
        <w:rFonts w:hint="default" w:ascii="Calibri" w:hAnsi="Calibri" w:cs="Calibri" w:eastAsiaTheme="minorEastAsia"/>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36952171"/>
    <w:multiLevelType w:val="hybridMultilevel"/>
    <w:tmpl w:val="3B42DE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EEA4BBA"/>
    <w:multiLevelType w:val="multilevel"/>
    <w:tmpl w:val="D9D66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55BEE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8279313"/>
    <w:multiLevelType w:val="hybridMultilevel"/>
    <w:tmpl w:val="FFFFFFFF"/>
    <w:lvl w:ilvl="0" w:tplc="CAF0F83E">
      <w:start w:val="1"/>
      <w:numFmt w:val="bullet"/>
      <w:lvlText w:val="·"/>
      <w:lvlJc w:val="left"/>
      <w:pPr>
        <w:ind w:left="720" w:hanging="360"/>
      </w:pPr>
      <w:rPr>
        <w:rFonts w:hint="default" w:ascii="Symbol" w:hAnsi="Symbol"/>
      </w:rPr>
    </w:lvl>
    <w:lvl w:ilvl="1" w:tplc="284A16F4">
      <w:start w:val="1"/>
      <w:numFmt w:val="bullet"/>
      <w:lvlText w:val="o"/>
      <w:lvlJc w:val="left"/>
      <w:pPr>
        <w:ind w:left="1440" w:hanging="360"/>
      </w:pPr>
      <w:rPr>
        <w:rFonts w:hint="default" w:ascii="Courier New" w:hAnsi="Courier New"/>
      </w:rPr>
    </w:lvl>
    <w:lvl w:ilvl="2" w:tplc="0BD2E3D0">
      <w:start w:val="1"/>
      <w:numFmt w:val="bullet"/>
      <w:lvlText w:val=""/>
      <w:lvlJc w:val="left"/>
      <w:pPr>
        <w:ind w:left="2160" w:hanging="360"/>
      </w:pPr>
      <w:rPr>
        <w:rFonts w:hint="default" w:ascii="Wingdings" w:hAnsi="Wingdings"/>
      </w:rPr>
    </w:lvl>
    <w:lvl w:ilvl="3" w:tplc="1E5626A2">
      <w:start w:val="1"/>
      <w:numFmt w:val="bullet"/>
      <w:lvlText w:val=""/>
      <w:lvlJc w:val="left"/>
      <w:pPr>
        <w:ind w:left="2880" w:hanging="360"/>
      </w:pPr>
      <w:rPr>
        <w:rFonts w:hint="default" w:ascii="Symbol" w:hAnsi="Symbol"/>
      </w:rPr>
    </w:lvl>
    <w:lvl w:ilvl="4" w:tplc="7EF2860A">
      <w:start w:val="1"/>
      <w:numFmt w:val="bullet"/>
      <w:lvlText w:val="o"/>
      <w:lvlJc w:val="left"/>
      <w:pPr>
        <w:ind w:left="3600" w:hanging="360"/>
      </w:pPr>
      <w:rPr>
        <w:rFonts w:hint="default" w:ascii="Courier New" w:hAnsi="Courier New"/>
      </w:rPr>
    </w:lvl>
    <w:lvl w:ilvl="5" w:tplc="96A810CC">
      <w:start w:val="1"/>
      <w:numFmt w:val="bullet"/>
      <w:lvlText w:val=""/>
      <w:lvlJc w:val="left"/>
      <w:pPr>
        <w:ind w:left="4320" w:hanging="360"/>
      </w:pPr>
      <w:rPr>
        <w:rFonts w:hint="default" w:ascii="Wingdings" w:hAnsi="Wingdings"/>
      </w:rPr>
    </w:lvl>
    <w:lvl w:ilvl="6" w:tplc="B5368E4A">
      <w:start w:val="1"/>
      <w:numFmt w:val="bullet"/>
      <w:lvlText w:val=""/>
      <w:lvlJc w:val="left"/>
      <w:pPr>
        <w:ind w:left="5040" w:hanging="360"/>
      </w:pPr>
      <w:rPr>
        <w:rFonts w:hint="default" w:ascii="Symbol" w:hAnsi="Symbol"/>
      </w:rPr>
    </w:lvl>
    <w:lvl w:ilvl="7" w:tplc="5404A388">
      <w:start w:val="1"/>
      <w:numFmt w:val="bullet"/>
      <w:lvlText w:val="o"/>
      <w:lvlJc w:val="left"/>
      <w:pPr>
        <w:ind w:left="5760" w:hanging="360"/>
      </w:pPr>
      <w:rPr>
        <w:rFonts w:hint="default" w:ascii="Courier New" w:hAnsi="Courier New"/>
      </w:rPr>
    </w:lvl>
    <w:lvl w:ilvl="8" w:tplc="40B24B6E">
      <w:start w:val="1"/>
      <w:numFmt w:val="bullet"/>
      <w:lvlText w:val=""/>
      <w:lvlJc w:val="left"/>
      <w:pPr>
        <w:ind w:left="6480" w:hanging="360"/>
      </w:pPr>
      <w:rPr>
        <w:rFonts w:hint="default" w:ascii="Wingdings" w:hAnsi="Wingdings"/>
      </w:rPr>
    </w:lvl>
  </w:abstractNum>
  <w:abstractNum w:abstractNumId="26" w15:restartNumberingAfterBreak="0">
    <w:nsid w:val="493777EE"/>
    <w:multiLevelType w:val="hybridMultilevel"/>
    <w:tmpl w:val="5DDC51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30B1EAA"/>
    <w:multiLevelType w:val="hybridMultilevel"/>
    <w:tmpl w:val="C504BB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6803B7A"/>
    <w:multiLevelType w:val="hybridMultilevel"/>
    <w:tmpl w:val="D648FEE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56A9586D"/>
    <w:multiLevelType w:val="hybridMultilevel"/>
    <w:tmpl w:val="E9085C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075AC"/>
    <w:multiLevelType w:val="hybridMultilevel"/>
    <w:tmpl w:val="33824908"/>
    <w:lvl w:ilvl="0" w:tplc="141A0001">
      <w:start w:val="1"/>
      <w:numFmt w:val="bullet"/>
      <w:lvlText w:val=""/>
      <w:lvlJc w:val="left"/>
      <w:pPr>
        <w:ind w:left="720" w:hanging="360"/>
      </w:pPr>
      <w:rPr>
        <w:rFonts w:hint="default" w:ascii="Symbol" w:hAnsi="Symbol"/>
      </w:rPr>
    </w:lvl>
    <w:lvl w:ilvl="1" w:tplc="141A0003" w:tentative="1">
      <w:start w:val="1"/>
      <w:numFmt w:val="bullet"/>
      <w:lvlText w:val="o"/>
      <w:lvlJc w:val="left"/>
      <w:pPr>
        <w:ind w:left="1440" w:hanging="360"/>
      </w:pPr>
      <w:rPr>
        <w:rFonts w:hint="default" w:ascii="Courier New" w:hAnsi="Courier New" w:cs="Courier New"/>
      </w:rPr>
    </w:lvl>
    <w:lvl w:ilvl="2" w:tplc="141A0005" w:tentative="1">
      <w:start w:val="1"/>
      <w:numFmt w:val="bullet"/>
      <w:lvlText w:val=""/>
      <w:lvlJc w:val="left"/>
      <w:pPr>
        <w:ind w:left="2160" w:hanging="360"/>
      </w:pPr>
      <w:rPr>
        <w:rFonts w:hint="default" w:ascii="Wingdings" w:hAnsi="Wingdings"/>
      </w:rPr>
    </w:lvl>
    <w:lvl w:ilvl="3" w:tplc="141A0001" w:tentative="1">
      <w:start w:val="1"/>
      <w:numFmt w:val="bullet"/>
      <w:lvlText w:val=""/>
      <w:lvlJc w:val="left"/>
      <w:pPr>
        <w:ind w:left="2880" w:hanging="360"/>
      </w:pPr>
      <w:rPr>
        <w:rFonts w:hint="default" w:ascii="Symbol" w:hAnsi="Symbol"/>
      </w:rPr>
    </w:lvl>
    <w:lvl w:ilvl="4" w:tplc="141A0003" w:tentative="1">
      <w:start w:val="1"/>
      <w:numFmt w:val="bullet"/>
      <w:lvlText w:val="o"/>
      <w:lvlJc w:val="left"/>
      <w:pPr>
        <w:ind w:left="3600" w:hanging="360"/>
      </w:pPr>
      <w:rPr>
        <w:rFonts w:hint="default" w:ascii="Courier New" w:hAnsi="Courier New" w:cs="Courier New"/>
      </w:rPr>
    </w:lvl>
    <w:lvl w:ilvl="5" w:tplc="141A0005" w:tentative="1">
      <w:start w:val="1"/>
      <w:numFmt w:val="bullet"/>
      <w:lvlText w:val=""/>
      <w:lvlJc w:val="left"/>
      <w:pPr>
        <w:ind w:left="4320" w:hanging="360"/>
      </w:pPr>
      <w:rPr>
        <w:rFonts w:hint="default" w:ascii="Wingdings" w:hAnsi="Wingdings"/>
      </w:rPr>
    </w:lvl>
    <w:lvl w:ilvl="6" w:tplc="141A0001" w:tentative="1">
      <w:start w:val="1"/>
      <w:numFmt w:val="bullet"/>
      <w:lvlText w:val=""/>
      <w:lvlJc w:val="left"/>
      <w:pPr>
        <w:ind w:left="5040" w:hanging="360"/>
      </w:pPr>
      <w:rPr>
        <w:rFonts w:hint="default" w:ascii="Symbol" w:hAnsi="Symbol"/>
      </w:rPr>
    </w:lvl>
    <w:lvl w:ilvl="7" w:tplc="141A0003" w:tentative="1">
      <w:start w:val="1"/>
      <w:numFmt w:val="bullet"/>
      <w:lvlText w:val="o"/>
      <w:lvlJc w:val="left"/>
      <w:pPr>
        <w:ind w:left="5760" w:hanging="360"/>
      </w:pPr>
      <w:rPr>
        <w:rFonts w:hint="default" w:ascii="Courier New" w:hAnsi="Courier New" w:cs="Courier New"/>
      </w:rPr>
    </w:lvl>
    <w:lvl w:ilvl="8" w:tplc="141A0005" w:tentative="1">
      <w:start w:val="1"/>
      <w:numFmt w:val="bullet"/>
      <w:lvlText w:val=""/>
      <w:lvlJc w:val="left"/>
      <w:pPr>
        <w:ind w:left="6480" w:hanging="360"/>
      </w:pPr>
      <w:rPr>
        <w:rFonts w:hint="default" w:ascii="Wingdings" w:hAnsi="Wingdings"/>
      </w:rPr>
    </w:lvl>
  </w:abstractNum>
  <w:abstractNum w:abstractNumId="31" w15:restartNumberingAfterBreak="0">
    <w:nsid w:val="588252D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EB083B"/>
    <w:multiLevelType w:val="hybridMultilevel"/>
    <w:tmpl w:val="9D7888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C3DAD69"/>
    <w:multiLevelType w:val="hybridMultilevel"/>
    <w:tmpl w:val="FFFFFFFF"/>
    <w:lvl w:ilvl="0" w:tplc="59BA92A0">
      <w:start w:val="1"/>
      <w:numFmt w:val="bullet"/>
      <w:lvlText w:val="·"/>
      <w:lvlJc w:val="left"/>
      <w:pPr>
        <w:ind w:left="720" w:hanging="360"/>
      </w:pPr>
      <w:rPr>
        <w:rFonts w:hint="default" w:ascii="Symbol" w:hAnsi="Symbol"/>
      </w:rPr>
    </w:lvl>
    <w:lvl w:ilvl="1" w:tplc="8012B950">
      <w:start w:val="1"/>
      <w:numFmt w:val="bullet"/>
      <w:lvlText w:val="o"/>
      <w:lvlJc w:val="left"/>
      <w:pPr>
        <w:ind w:left="1440" w:hanging="360"/>
      </w:pPr>
      <w:rPr>
        <w:rFonts w:hint="default" w:ascii="Courier New" w:hAnsi="Courier New"/>
      </w:rPr>
    </w:lvl>
    <w:lvl w:ilvl="2" w:tplc="A39C25D6">
      <w:start w:val="1"/>
      <w:numFmt w:val="bullet"/>
      <w:lvlText w:val=""/>
      <w:lvlJc w:val="left"/>
      <w:pPr>
        <w:ind w:left="2160" w:hanging="360"/>
      </w:pPr>
      <w:rPr>
        <w:rFonts w:hint="default" w:ascii="Wingdings" w:hAnsi="Wingdings"/>
      </w:rPr>
    </w:lvl>
    <w:lvl w:ilvl="3" w:tplc="EB5A7618">
      <w:start w:val="1"/>
      <w:numFmt w:val="bullet"/>
      <w:lvlText w:val=""/>
      <w:lvlJc w:val="left"/>
      <w:pPr>
        <w:ind w:left="2880" w:hanging="360"/>
      </w:pPr>
      <w:rPr>
        <w:rFonts w:hint="default" w:ascii="Symbol" w:hAnsi="Symbol"/>
      </w:rPr>
    </w:lvl>
    <w:lvl w:ilvl="4" w:tplc="E05CB5E4">
      <w:start w:val="1"/>
      <w:numFmt w:val="bullet"/>
      <w:lvlText w:val="o"/>
      <w:lvlJc w:val="left"/>
      <w:pPr>
        <w:ind w:left="3600" w:hanging="360"/>
      </w:pPr>
      <w:rPr>
        <w:rFonts w:hint="default" w:ascii="Courier New" w:hAnsi="Courier New"/>
      </w:rPr>
    </w:lvl>
    <w:lvl w:ilvl="5" w:tplc="5DAE39E8">
      <w:start w:val="1"/>
      <w:numFmt w:val="bullet"/>
      <w:lvlText w:val=""/>
      <w:lvlJc w:val="left"/>
      <w:pPr>
        <w:ind w:left="4320" w:hanging="360"/>
      </w:pPr>
      <w:rPr>
        <w:rFonts w:hint="default" w:ascii="Wingdings" w:hAnsi="Wingdings"/>
      </w:rPr>
    </w:lvl>
    <w:lvl w:ilvl="6" w:tplc="C728E7DC">
      <w:start w:val="1"/>
      <w:numFmt w:val="bullet"/>
      <w:lvlText w:val=""/>
      <w:lvlJc w:val="left"/>
      <w:pPr>
        <w:ind w:left="5040" w:hanging="360"/>
      </w:pPr>
      <w:rPr>
        <w:rFonts w:hint="default" w:ascii="Symbol" w:hAnsi="Symbol"/>
      </w:rPr>
    </w:lvl>
    <w:lvl w:ilvl="7" w:tplc="A4364988">
      <w:start w:val="1"/>
      <w:numFmt w:val="bullet"/>
      <w:lvlText w:val="o"/>
      <w:lvlJc w:val="left"/>
      <w:pPr>
        <w:ind w:left="5760" w:hanging="360"/>
      </w:pPr>
      <w:rPr>
        <w:rFonts w:hint="default" w:ascii="Courier New" w:hAnsi="Courier New"/>
      </w:rPr>
    </w:lvl>
    <w:lvl w:ilvl="8" w:tplc="3EAA74AA">
      <w:start w:val="1"/>
      <w:numFmt w:val="bullet"/>
      <w:lvlText w:val=""/>
      <w:lvlJc w:val="left"/>
      <w:pPr>
        <w:ind w:left="6480" w:hanging="360"/>
      </w:pPr>
      <w:rPr>
        <w:rFonts w:hint="default" w:ascii="Wingdings" w:hAnsi="Wingdings"/>
      </w:rPr>
    </w:lvl>
  </w:abstractNum>
  <w:abstractNum w:abstractNumId="34" w15:restartNumberingAfterBreak="0">
    <w:nsid w:val="5CC01282"/>
    <w:multiLevelType w:val="hybridMultilevel"/>
    <w:tmpl w:val="FFFFFFFF"/>
    <w:lvl w:ilvl="0" w:tplc="B5EEFB92">
      <w:start w:val="1"/>
      <w:numFmt w:val="bullet"/>
      <w:lvlText w:val="·"/>
      <w:lvlJc w:val="left"/>
      <w:pPr>
        <w:ind w:left="720" w:hanging="360"/>
      </w:pPr>
      <w:rPr>
        <w:rFonts w:hint="default" w:ascii="Symbol" w:hAnsi="Symbol"/>
      </w:rPr>
    </w:lvl>
    <w:lvl w:ilvl="1" w:tplc="C798C5A4">
      <w:start w:val="1"/>
      <w:numFmt w:val="bullet"/>
      <w:lvlText w:val="o"/>
      <w:lvlJc w:val="left"/>
      <w:pPr>
        <w:ind w:left="1440" w:hanging="360"/>
      </w:pPr>
      <w:rPr>
        <w:rFonts w:hint="default" w:ascii="Courier New" w:hAnsi="Courier New"/>
      </w:rPr>
    </w:lvl>
    <w:lvl w:ilvl="2" w:tplc="BE86BE2A">
      <w:start w:val="1"/>
      <w:numFmt w:val="bullet"/>
      <w:lvlText w:val=""/>
      <w:lvlJc w:val="left"/>
      <w:pPr>
        <w:ind w:left="2160" w:hanging="360"/>
      </w:pPr>
      <w:rPr>
        <w:rFonts w:hint="default" w:ascii="Wingdings" w:hAnsi="Wingdings"/>
      </w:rPr>
    </w:lvl>
    <w:lvl w:ilvl="3" w:tplc="EBA0EB0A">
      <w:start w:val="1"/>
      <w:numFmt w:val="bullet"/>
      <w:lvlText w:val=""/>
      <w:lvlJc w:val="left"/>
      <w:pPr>
        <w:ind w:left="2880" w:hanging="360"/>
      </w:pPr>
      <w:rPr>
        <w:rFonts w:hint="default" w:ascii="Symbol" w:hAnsi="Symbol"/>
      </w:rPr>
    </w:lvl>
    <w:lvl w:ilvl="4" w:tplc="7484604E">
      <w:start w:val="1"/>
      <w:numFmt w:val="bullet"/>
      <w:lvlText w:val="o"/>
      <w:lvlJc w:val="left"/>
      <w:pPr>
        <w:ind w:left="3600" w:hanging="360"/>
      </w:pPr>
      <w:rPr>
        <w:rFonts w:hint="default" w:ascii="Courier New" w:hAnsi="Courier New"/>
      </w:rPr>
    </w:lvl>
    <w:lvl w:ilvl="5" w:tplc="271CDCB8">
      <w:start w:val="1"/>
      <w:numFmt w:val="bullet"/>
      <w:lvlText w:val=""/>
      <w:lvlJc w:val="left"/>
      <w:pPr>
        <w:ind w:left="4320" w:hanging="360"/>
      </w:pPr>
      <w:rPr>
        <w:rFonts w:hint="default" w:ascii="Wingdings" w:hAnsi="Wingdings"/>
      </w:rPr>
    </w:lvl>
    <w:lvl w:ilvl="6" w:tplc="1E04C262">
      <w:start w:val="1"/>
      <w:numFmt w:val="bullet"/>
      <w:lvlText w:val=""/>
      <w:lvlJc w:val="left"/>
      <w:pPr>
        <w:ind w:left="5040" w:hanging="360"/>
      </w:pPr>
      <w:rPr>
        <w:rFonts w:hint="default" w:ascii="Symbol" w:hAnsi="Symbol"/>
      </w:rPr>
    </w:lvl>
    <w:lvl w:ilvl="7" w:tplc="AF64243E">
      <w:start w:val="1"/>
      <w:numFmt w:val="bullet"/>
      <w:lvlText w:val="o"/>
      <w:lvlJc w:val="left"/>
      <w:pPr>
        <w:ind w:left="5760" w:hanging="360"/>
      </w:pPr>
      <w:rPr>
        <w:rFonts w:hint="default" w:ascii="Courier New" w:hAnsi="Courier New"/>
      </w:rPr>
    </w:lvl>
    <w:lvl w:ilvl="8" w:tplc="B75A9962">
      <w:start w:val="1"/>
      <w:numFmt w:val="bullet"/>
      <w:lvlText w:val=""/>
      <w:lvlJc w:val="left"/>
      <w:pPr>
        <w:ind w:left="6480" w:hanging="360"/>
      </w:pPr>
      <w:rPr>
        <w:rFonts w:hint="default" w:ascii="Wingdings" w:hAnsi="Wingdings"/>
      </w:rPr>
    </w:lvl>
  </w:abstractNum>
  <w:abstractNum w:abstractNumId="35" w15:restartNumberingAfterBreak="0">
    <w:nsid w:val="6067076E"/>
    <w:multiLevelType w:val="multilevel"/>
    <w:tmpl w:val="5B52C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07F3D1A"/>
    <w:multiLevelType w:val="hybridMultilevel"/>
    <w:tmpl w:val="4D426E48"/>
    <w:lvl w:ilvl="0" w:tplc="5F26D326">
      <w:start w:val="1"/>
      <w:numFmt w:val="decimal"/>
      <w:lvlText w:val="%1."/>
      <w:lvlJc w:val="left"/>
      <w:pPr>
        <w:ind w:left="528" w:hanging="360"/>
      </w:pPr>
      <w:rPr>
        <w:b w:val="0"/>
        <w:bCs w:val="0"/>
        <w:color w:val="000000"/>
      </w:rPr>
    </w:lvl>
    <w:lvl w:ilvl="1" w:tplc="04090019">
      <w:start w:val="1"/>
      <w:numFmt w:val="lowerLetter"/>
      <w:lvlText w:val="%2."/>
      <w:lvlJc w:val="left"/>
      <w:pPr>
        <w:ind w:left="1248" w:hanging="360"/>
      </w:pPr>
    </w:lvl>
    <w:lvl w:ilvl="2" w:tplc="0409001B">
      <w:start w:val="1"/>
      <w:numFmt w:val="lowerRoman"/>
      <w:lvlText w:val="%3."/>
      <w:lvlJc w:val="right"/>
      <w:pPr>
        <w:ind w:left="1968" w:hanging="180"/>
      </w:pPr>
    </w:lvl>
    <w:lvl w:ilvl="3" w:tplc="0409000F">
      <w:start w:val="1"/>
      <w:numFmt w:val="decimal"/>
      <w:lvlText w:val="%4."/>
      <w:lvlJc w:val="left"/>
      <w:pPr>
        <w:ind w:left="2688" w:hanging="360"/>
      </w:pPr>
    </w:lvl>
    <w:lvl w:ilvl="4" w:tplc="04090019">
      <w:start w:val="1"/>
      <w:numFmt w:val="lowerLetter"/>
      <w:lvlText w:val="%5."/>
      <w:lvlJc w:val="left"/>
      <w:pPr>
        <w:ind w:left="3408" w:hanging="360"/>
      </w:pPr>
    </w:lvl>
    <w:lvl w:ilvl="5" w:tplc="0409001B">
      <w:start w:val="1"/>
      <w:numFmt w:val="lowerRoman"/>
      <w:lvlText w:val="%6."/>
      <w:lvlJc w:val="right"/>
      <w:pPr>
        <w:ind w:left="4128" w:hanging="180"/>
      </w:pPr>
    </w:lvl>
    <w:lvl w:ilvl="6" w:tplc="0409000F">
      <w:start w:val="1"/>
      <w:numFmt w:val="decimal"/>
      <w:lvlText w:val="%7."/>
      <w:lvlJc w:val="left"/>
      <w:pPr>
        <w:ind w:left="4848" w:hanging="360"/>
      </w:pPr>
    </w:lvl>
    <w:lvl w:ilvl="7" w:tplc="04090019">
      <w:start w:val="1"/>
      <w:numFmt w:val="lowerLetter"/>
      <w:lvlText w:val="%8."/>
      <w:lvlJc w:val="left"/>
      <w:pPr>
        <w:ind w:left="5568" w:hanging="360"/>
      </w:pPr>
    </w:lvl>
    <w:lvl w:ilvl="8" w:tplc="0409001B">
      <w:start w:val="1"/>
      <w:numFmt w:val="lowerRoman"/>
      <w:lvlText w:val="%9."/>
      <w:lvlJc w:val="right"/>
      <w:pPr>
        <w:ind w:left="6288" w:hanging="180"/>
      </w:pPr>
    </w:lvl>
  </w:abstractNum>
  <w:abstractNum w:abstractNumId="37" w15:restartNumberingAfterBreak="0">
    <w:nsid w:val="65FE07D8"/>
    <w:multiLevelType w:val="hybridMultilevel"/>
    <w:tmpl w:val="38FC7F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9F65BEC"/>
    <w:multiLevelType w:val="hybridMultilevel"/>
    <w:tmpl w:val="8D7E8AB8"/>
    <w:lvl w:ilvl="0" w:tplc="64A6C382">
      <w:start w:val="1"/>
      <w:numFmt w:val="bullet"/>
      <w:lvlText w:val=""/>
      <w:lvlJc w:val="left"/>
      <w:pPr>
        <w:ind w:left="360" w:hanging="360"/>
      </w:pPr>
      <w:rPr>
        <w:rFonts w:hint="default" w:ascii="Symbol" w:hAnsi="Symbol"/>
        <w:color w:val="auto"/>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9" w15:restartNumberingAfterBreak="0">
    <w:nsid w:val="6BA913ED"/>
    <w:multiLevelType w:val="hybridMultilevel"/>
    <w:tmpl w:val="AD3A1E8E"/>
    <w:lvl w:ilvl="0" w:tplc="925E8B0E">
      <w:start w:val="1"/>
      <w:numFmt w:val="lowerLetter"/>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391AF7"/>
    <w:multiLevelType w:val="multilevel"/>
    <w:tmpl w:val="52142B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6E8A62AC"/>
    <w:multiLevelType w:val="hybridMultilevel"/>
    <w:tmpl w:val="20860A48"/>
    <w:lvl w:ilvl="0" w:tplc="E17613E2">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02501ED"/>
    <w:multiLevelType w:val="hybridMultilevel"/>
    <w:tmpl w:val="0172AD8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3" w15:restartNumberingAfterBreak="0">
    <w:nsid w:val="702F7D7F"/>
    <w:multiLevelType w:val="hybridMultilevel"/>
    <w:tmpl w:val="85F694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05F4796"/>
    <w:multiLevelType w:val="hybridMultilevel"/>
    <w:tmpl w:val="602606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74CA4B8C"/>
    <w:multiLevelType w:val="hybridMultilevel"/>
    <w:tmpl w:val="1C16CE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5CE4037"/>
    <w:multiLevelType w:val="hybridMultilevel"/>
    <w:tmpl w:val="BABAE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801767"/>
    <w:multiLevelType w:val="hybridMultilevel"/>
    <w:tmpl w:val="BABAE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3107035">
    <w:abstractNumId w:val="32"/>
  </w:num>
  <w:num w:numId="2" w16cid:durableId="1250501920">
    <w:abstractNumId w:val="18"/>
  </w:num>
  <w:num w:numId="3" w16cid:durableId="1363089028">
    <w:abstractNumId w:val="27"/>
  </w:num>
  <w:num w:numId="4" w16cid:durableId="1662156720">
    <w:abstractNumId w:val="43"/>
  </w:num>
  <w:num w:numId="5" w16cid:durableId="1225137986">
    <w:abstractNumId w:val="13"/>
  </w:num>
  <w:num w:numId="6" w16cid:durableId="1460688991">
    <w:abstractNumId w:val="45"/>
  </w:num>
  <w:num w:numId="7" w16cid:durableId="1087648901">
    <w:abstractNumId w:val="39"/>
  </w:num>
  <w:num w:numId="8" w16cid:durableId="1733190826">
    <w:abstractNumId w:val="29"/>
  </w:num>
  <w:num w:numId="9" w16cid:durableId="140969194">
    <w:abstractNumId w:val="44"/>
  </w:num>
  <w:num w:numId="10" w16cid:durableId="1113090665">
    <w:abstractNumId w:val="34"/>
  </w:num>
  <w:num w:numId="11" w16cid:durableId="1673676893">
    <w:abstractNumId w:val="25"/>
  </w:num>
  <w:num w:numId="12" w16cid:durableId="909776102">
    <w:abstractNumId w:val="33"/>
  </w:num>
  <w:num w:numId="13" w16cid:durableId="958729486">
    <w:abstractNumId w:val="5"/>
  </w:num>
  <w:num w:numId="14" w16cid:durableId="78645099">
    <w:abstractNumId w:val="6"/>
  </w:num>
  <w:num w:numId="15" w16cid:durableId="1848398721">
    <w:abstractNumId w:val="9"/>
  </w:num>
  <w:num w:numId="16" w16cid:durableId="535510117">
    <w:abstractNumId w:val="47"/>
  </w:num>
  <w:num w:numId="17" w16cid:durableId="823861345">
    <w:abstractNumId w:val="12"/>
  </w:num>
  <w:num w:numId="18" w16cid:durableId="17241870">
    <w:abstractNumId w:val="46"/>
  </w:num>
  <w:num w:numId="19" w16cid:durableId="1605839190">
    <w:abstractNumId w:val="37"/>
  </w:num>
  <w:num w:numId="20" w16cid:durableId="586697794">
    <w:abstractNumId w:val="41"/>
  </w:num>
  <w:num w:numId="21" w16cid:durableId="1059672215">
    <w:abstractNumId w:val="15"/>
  </w:num>
  <w:num w:numId="22" w16cid:durableId="1647396870">
    <w:abstractNumId w:val="22"/>
  </w:num>
  <w:num w:numId="23" w16cid:durableId="619536085">
    <w:abstractNumId w:val="14"/>
  </w:num>
  <w:num w:numId="24" w16cid:durableId="1281180605">
    <w:abstractNumId w:val="10"/>
  </w:num>
  <w:num w:numId="25" w16cid:durableId="556664793">
    <w:abstractNumId w:val="11"/>
  </w:num>
  <w:num w:numId="26" w16cid:durableId="391389100">
    <w:abstractNumId w:val="42"/>
  </w:num>
  <w:num w:numId="27" w16cid:durableId="1661304668">
    <w:abstractNumId w:val="28"/>
  </w:num>
  <w:num w:numId="28" w16cid:durableId="1606185005">
    <w:abstractNumId w:val="35"/>
  </w:num>
  <w:num w:numId="29" w16cid:durableId="842889529">
    <w:abstractNumId w:val="7"/>
  </w:num>
  <w:num w:numId="30" w16cid:durableId="1445883656">
    <w:abstractNumId w:val="23"/>
  </w:num>
  <w:num w:numId="31" w16cid:durableId="1411193684">
    <w:abstractNumId w:val="20"/>
  </w:num>
  <w:num w:numId="32" w16cid:durableId="1856339787">
    <w:abstractNumId w:val="8"/>
  </w:num>
  <w:num w:numId="33" w16cid:durableId="1037196488">
    <w:abstractNumId w:val="3"/>
  </w:num>
  <w:num w:numId="34" w16cid:durableId="1752043786">
    <w:abstractNumId w:val="19"/>
  </w:num>
  <w:num w:numId="35" w16cid:durableId="367148858">
    <w:abstractNumId w:val="4"/>
  </w:num>
  <w:num w:numId="36" w16cid:durableId="349066860">
    <w:abstractNumId w:val="26"/>
  </w:num>
  <w:num w:numId="37" w16cid:durableId="349647473">
    <w:abstractNumId w:val="21"/>
  </w:num>
  <w:num w:numId="38" w16cid:durableId="908853817">
    <w:abstractNumId w:val="38"/>
  </w:num>
  <w:num w:numId="39" w16cid:durableId="98962050">
    <w:abstractNumId w:val="17"/>
  </w:num>
  <w:num w:numId="40" w16cid:durableId="15152244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5032505">
    <w:abstractNumId w:val="2"/>
  </w:num>
  <w:num w:numId="42" w16cid:durableId="305819751">
    <w:abstractNumId w:val="40"/>
  </w:num>
  <w:num w:numId="43" w16cid:durableId="600375919">
    <w:abstractNumId w:val="31"/>
  </w:num>
  <w:num w:numId="44" w16cid:durableId="165026167">
    <w:abstractNumId w:val="0"/>
  </w:num>
  <w:num w:numId="45" w16cid:durableId="1619799451">
    <w:abstractNumId w:val="1"/>
  </w:num>
  <w:num w:numId="46" w16cid:durableId="2018186813">
    <w:abstractNumId w:val="24"/>
  </w:num>
  <w:num w:numId="47" w16cid:durableId="1981960904">
    <w:abstractNumId w:val="16"/>
  </w:num>
  <w:num w:numId="48" w16cid:durableId="268702974">
    <w:abstractNumId w:val="30"/>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FE4"/>
    <w:rsid w:val="0000043D"/>
    <w:rsid w:val="000005F9"/>
    <w:rsid w:val="00000861"/>
    <w:rsid w:val="00000C5B"/>
    <w:rsid w:val="00000CFC"/>
    <w:rsid w:val="00000F5E"/>
    <w:rsid w:val="00001186"/>
    <w:rsid w:val="0000132B"/>
    <w:rsid w:val="00001615"/>
    <w:rsid w:val="000016AB"/>
    <w:rsid w:val="000019F4"/>
    <w:rsid w:val="00001A3A"/>
    <w:rsid w:val="00001AD3"/>
    <w:rsid w:val="00001C7B"/>
    <w:rsid w:val="00001DED"/>
    <w:rsid w:val="00001E12"/>
    <w:rsid w:val="00002123"/>
    <w:rsid w:val="0000212D"/>
    <w:rsid w:val="00002C9F"/>
    <w:rsid w:val="0000336A"/>
    <w:rsid w:val="00003540"/>
    <w:rsid w:val="00003E07"/>
    <w:rsid w:val="00004048"/>
    <w:rsid w:val="0000419D"/>
    <w:rsid w:val="0000429E"/>
    <w:rsid w:val="00004563"/>
    <w:rsid w:val="00004F2A"/>
    <w:rsid w:val="0000506B"/>
    <w:rsid w:val="00005084"/>
    <w:rsid w:val="000052BE"/>
    <w:rsid w:val="000055C5"/>
    <w:rsid w:val="000056D8"/>
    <w:rsid w:val="00005991"/>
    <w:rsid w:val="00005F8C"/>
    <w:rsid w:val="00006895"/>
    <w:rsid w:val="000068FD"/>
    <w:rsid w:val="000073DE"/>
    <w:rsid w:val="00007479"/>
    <w:rsid w:val="00007491"/>
    <w:rsid w:val="00007496"/>
    <w:rsid w:val="000077A7"/>
    <w:rsid w:val="00007B9E"/>
    <w:rsid w:val="00007C82"/>
    <w:rsid w:val="00007DAA"/>
    <w:rsid w:val="00007EAD"/>
    <w:rsid w:val="00007F6B"/>
    <w:rsid w:val="00010000"/>
    <w:rsid w:val="000105D4"/>
    <w:rsid w:val="000105E8"/>
    <w:rsid w:val="000106DB"/>
    <w:rsid w:val="000107C3"/>
    <w:rsid w:val="000107D0"/>
    <w:rsid w:val="00010905"/>
    <w:rsid w:val="000109CC"/>
    <w:rsid w:val="00011074"/>
    <w:rsid w:val="00011BDE"/>
    <w:rsid w:val="00011DE0"/>
    <w:rsid w:val="00011F8C"/>
    <w:rsid w:val="00011FE2"/>
    <w:rsid w:val="00012392"/>
    <w:rsid w:val="000124B6"/>
    <w:rsid w:val="000127F9"/>
    <w:rsid w:val="00012878"/>
    <w:rsid w:val="000129B7"/>
    <w:rsid w:val="000129FD"/>
    <w:rsid w:val="00012CAE"/>
    <w:rsid w:val="00012D3C"/>
    <w:rsid w:val="0001304A"/>
    <w:rsid w:val="000130EE"/>
    <w:rsid w:val="000137B8"/>
    <w:rsid w:val="0001394A"/>
    <w:rsid w:val="00013B8C"/>
    <w:rsid w:val="00013E0E"/>
    <w:rsid w:val="000140BF"/>
    <w:rsid w:val="000143E0"/>
    <w:rsid w:val="00014443"/>
    <w:rsid w:val="000147F1"/>
    <w:rsid w:val="00014B69"/>
    <w:rsid w:val="00014C16"/>
    <w:rsid w:val="00015074"/>
    <w:rsid w:val="0001509D"/>
    <w:rsid w:val="0001516C"/>
    <w:rsid w:val="00015250"/>
    <w:rsid w:val="000155D5"/>
    <w:rsid w:val="000156A5"/>
    <w:rsid w:val="000158C1"/>
    <w:rsid w:val="00015982"/>
    <w:rsid w:val="00015BB0"/>
    <w:rsid w:val="00015C16"/>
    <w:rsid w:val="00015E8D"/>
    <w:rsid w:val="00016125"/>
    <w:rsid w:val="00016170"/>
    <w:rsid w:val="00016EB7"/>
    <w:rsid w:val="00017079"/>
    <w:rsid w:val="00017092"/>
    <w:rsid w:val="000171DF"/>
    <w:rsid w:val="000172D8"/>
    <w:rsid w:val="0001784A"/>
    <w:rsid w:val="00017AD2"/>
    <w:rsid w:val="00017CD6"/>
    <w:rsid w:val="00017E2C"/>
    <w:rsid w:val="00019B49"/>
    <w:rsid w:val="0002050A"/>
    <w:rsid w:val="000207B3"/>
    <w:rsid w:val="00020822"/>
    <w:rsid w:val="00020AFD"/>
    <w:rsid w:val="00020B3B"/>
    <w:rsid w:val="00020E2A"/>
    <w:rsid w:val="00020F84"/>
    <w:rsid w:val="00020FC4"/>
    <w:rsid w:val="0002125E"/>
    <w:rsid w:val="00021410"/>
    <w:rsid w:val="00021563"/>
    <w:rsid w:val="00021698"/>
    <w:rsid w:val="000216DB"/>
    <w:rsid w:val="00021B34"/>
    <w:rsid w:val="00021E10"/>
    <w:rsid w:val="0002214C"/>
    <w:rsid w:val="00022265"/>
    <w:rsid w:val="0002227A"/>
    <w:rsid w:val="00022456"/>
    <w:rsid w:val="000224C6"/>
    <w:rsid w:val="0002254A"/>
    <w:rsid w:val="0002255B"/>
    <w:rsid w:val="00022CC1"/>
    <w:rsid w:val="00022CDE"/>
    <w:rsid w:val="00022E63"/>
    <w:rsid w:val="00022FE2"/>
    <w:rsid w:val="00023027"/>
    <w:rsid w:val="000230A8"/>
    <w:rsid w:val="000231C9"/>
    <w:rsid w:val="00023332"/>
    <w:rsid w:val="0002361E"/>
    <w:rsid w:val="0002377A"/>
    <w:rsid w:val="00023ADF"/>
    <w:rsid w:val="00023DA4"/>
    <w:rsid w:val="00024061"/>
    <w:rsid w:val="00024427"/>
    <w:rsid w:val="0002448C"/>
    <w:rsid w:val="000248BB"/>
    <w:rsid w:val="000248EA"/>
    <w:rsid w:val="00024C05"/>
    <w:rsid w:val="00024DD9"/>
    <w:rsid w:val="000255DF"/>
    <w:rsid w:val="000256DC"/>
    <w:rsid w:val="0002579F"/>
    <w:rsid w:val="000259D9"/>
    <w:rsid w:val="00026748"/>
    <w:rsid w:val="00026AF1"/>
    <w:rsid w:val="00026DFF"/>
    <w:rsid w:val="00026E19"/>
    <w:rsid w:val="0002736D"/>
    <w:rsid w:val="000273FD"/>
    <w:rsid w:val="00027442"/>
    <w:rsid w:val="00027702"/>
    <w:rsid w:val="000277CF"/>
    <w:rsid w:val="0002796A"/>
    <w:rsid w:val="000279CB"/>
    <w:rsid w:val="00030236"/>
    <w:rsid w:val="00030327"/>
    <w:rsid w:val="0003057E"/>
    <w:rsid w:val="0003095A"/>
    <w:rsid w:val="00030E2F"/>
    <w:rsid w:val="00031152"/>
    <w:rsid w:val="000311E0"/>
    <w:rsid w:val="00031581"/>
    <w:rsid w:val="00031C62"/>
    <w:rsid w:val="00031D00"/>
    <w:rsid w:val="000320A1"/>
    <w:rsid w:val="000325B8"/>
    <w:rsid w:val="000325CF"/>
    <w:rsid w:val="00032979"/>
    <w:rsid w:val="00032D06"/>
    <w:rsid w:val="00032E8A"/>
    <w:rsid w:val="000330F7"/>
    <w:rsid w:val="000333E5"/>
    <w:rsid w:val="000335C2"/>
    <w:rsid w:val="0003369F"/>
    <w:rsid w:val="00033893"/>
    <w:rsid w:val="00033B78"/>
    <w:rsid w:val="00033DB4"/>
    <w:rsid w:val="00034BB6"/>
    <w:rsid w:val="00034F71"/>
    <w:rsid w:val="000350BA"/>
    <w:rsid w:val="000352AC"/>
    <w:rsid w:val="000354CF"/>
    <w:rsid w:val="000354FC"/>
    <w:rsid w:val="00035596"/>
    <w:rsid w:val="000355E6"/>
    <w:rsid w:val="000356F8"/>
    <w:rsid w:val="00035A63"/>
    <w:rsid w:val="00035B4C"/>
    <w:rsid w:val="00035CB6"/>
    <w:rsid w:val="00035CCF"/>
    <w:rsid w:val="00035D5E"/>
    <w:rsid w:val="00035F20"/>
    <w:rsid w:val="0003601F"/>
    <w:rsid w:val="00036230"/>
    <w:rsid w:val="0003640C"/>
    <w:rsid w:val="00036652"/>
    <w:rsid w:val="0003696A"/>
    <w:rsid w:val="00036B07"/>
    <w:rsid w:val="00036C24"/>
    <w:rsid w:val="00036F25"/>
    <w:rsid w:val="00037008"/>
    <w:rsid w:val="00037091"/>
    <w:rsid w:val="000370C4"/>
    <w:rsid w:val="00037463"/>
    <w:rsid w:val="00037481"/>
    <w:rsid w:val="000374D4"/>
    <w:rsid w:val="000379B6"/>
    <w:rsid w:val="00037BD9"/>
    <w:rsid w:val="00037D12"/>
    <w:rsid w:val="00037D7B"/>
    <w:rsid w:val="00037F1A"/>
    <w:rsid w:val="00037F51"/>
    <w:rsid w:val="0004001F"/>
    <w:rsid w:val="00040048"/>
    <w:rsid w:val="0004073D"/>
    <w:rsid w:val="00040796"/>
    <w:rsid w:val="00040C94"/>
    <w:rsid w:val="00040EB5"/>
    <w:rsid w:val="000410A0"/>
    <w:rsid w:val="0004110C"/>
    <w:rsid w:val="00041261"/>
    <w:rsid w:val="00041513"/>
    <w:rsid w:val="000417FC"/>
    <w:rsid w:val="00041CC2"/>
    <w:rsid w:val="000434B9"/>
    <w:rsid w:val="000436B6"/>
    <w:rsid w:val="00043DC8"/>
    <w:rsid w:val="00044097"/>
    <w:rsid w:val="000441D3"/>
    <w:rsid w:val="0004459D"/>
    <w:rsid w:val="00044E35"/>
    <w:rsid w:val="00044ED5"/>
    <w:rsid w:val="000452B7"/>
    <w:rsid w:val="000456E1"/>
    <w:rsid w:val="00045817"/>
    <w:rsid w:val="00045C0A"/>
    <w:rsid w:val="00045DD5"/>
    <w:rsid w:val="000460BA"/>
    <w:rsid w:val="0004631D"/>
    <w:rsid w:val="00046385"/>
    <w:rsid w:val="00046393"/>
    <w:rsid w:val="000465BE"/>
    <w:rsid w:val="000468E8"/>
    <w:rsid w:val="00046BAA"/>
    <w:rsid w:val="00046F23"/>
    <w:rsid w:val="00047009"/>
    <w:rsid w:val="000470BF"/>
    <w:rsid w:val="000473E8"/>
    <w:rsid w:val="00047432"/>
    <w:rsid w:val="000477F4"/>
    <w:rsid w:val="00047823"/>
    <w:rsid w:val="00047B0C"/>
    <w:rsid w:val="00047DCD"/>
    <w:rsid w:val="000502D2"/>
    <w:rsid w:val="0005034B"/>
    <w:rsid w:val="00050518"/>
    <w:rsid w:val="00050911"/>
    <w:rsid w:val="00050C0B"/>
    <w:rsid w:val="00050EC5"/>
    <w:rsid w:val="000511DB"/>
    <w:rsid w:val="000511E0"/>
    <w:rsid w:val="0005159B"/>
    <w:rsid w:val="000515B3"/>
    <w:rsid w:val="000517CD"/>
    <w:rsid w:val="00051A85"/>
    <w:rsid w:val="00052529"/>
    <w:rsid w:val="00052800"/>
    <w:rsid w:val="00052A2A"/>
    <w:rsid w:val="000532A0"/>
    <w:rsid w:val="00053393"/>
    <w:rsid w:val="0005354F"/>
    <w:rsid w:val="0005379B"/>
    <w:rsid w:val="000537C5"/>
    <w:rsid w:val="00053FCC"/>
    <w:rsid w:val="000541F5"/>
    <w:rsid w:val="00054729"/>
    <w:rsid w:val="000548CE"/>
    <w:rsid w:val="00054BA1"/>
    <w:rsid w:val="00055064"/>
    <w:rsid w:val="0005521A"/>
    <w:rsid w:val="0005534F"/>
    <w:rsid w:val="0005572A"/>
    <w:rsid w:val="000558A5"/>
    <w:rsid w:val="00055CB7"/>
    <w:rsid w:val="00055F9D"/>
    <w:rsid w:val="00056A15"/>
    <w:rsid w:val="00056C6E"/>
    <w:rsid w:val="00056F24"/>
    <w:rsid w:val="00056F25"/>
    <w:rsid w:val="000571AB"/>
    <w:rsid w:val="00057636"/>
    <w:rsid w:val="00057ED8"/>
    <w:rsid w:val="00060118"/>
    <w:rsid w:val="00060235"/>
    <w:rsid w:val="00060485"/>
    <w:rsid w:val="0006053C"/>
    <w:rsid w:val="00060A2E"/>
    <w:rsid w:val="0006117D"/>
    <w:rsid w:val="00061309"/>
    <w:rsid w:val="000615BF"/>
    <w:rsid w:val="00061698"/>
    <w:rsid w:val="00061713"/>
    <w:rsid w:val="00061752"/>
    <w:rsid w:val="000618F8"/>
    <w:rsid w:val="0006231A"/>
    <w:rsid w:val="00062376"/>
    <w:rsid w:val="00062496"/>
    <w:rsid w:val="000624C9"/>
    <w:rsid w:val="0006255F"/>
    <w:rsid w:val="00062DD5"/>
    <w:rsid w:val="0006321A"/>
    <w:rsid w:val="00063234"/>
    <w:rsid w:val="00063806"/>
    <w:rsid w:val="00063940"/>
    <w:rsid w:val="00063C8B"/>
    <w:rsid w:val="00063E51"/>
    <w:rsid w:val="000641ED"/>
    <w:rsid w:val="00064B6B"/>
    <w:rsid w:val="00064B7D"/>
    <w:rsid w:val="00064FDD"/>
    <w:rsid w:val="00065295"/>
    <w:rsid w:val="0006553F"/>
    <w:rsid w:val="000656FD"/>
    <w:rsid w:val="00065C3D"/>
    <w:rsid w:val="0006600C"/>
    <w:rsid w:val="00066031"/>
    <w:rsid w:val="00066216"/>
    <w:rsid w:val="000664DA"/>
    <w:rsid w:val="0006653E"/>
    <w:rsid w:val="000667F0"/>
    <w:rsid w:val="000668DD"/>
    <w:rsid w:val="000668ED"/>
    <w:rsid w:val="00066D33"/>
    <w:rsid w:val="00066F7C"/>
    <w:rsid w:val="000674D7"/>
    <w:rsid w:val="000674E1"/>
    <w:rsid w:val="00067602"/>
    <w:rsid w:val="0006772C"/>
    <w:rsid w:val="0006784D"/>
    <w:rsid w:val="00067D5D"/>
    <w:rsid w:val="00070255"/>
    <w:rsid w:val="00070806"/>
    <w:rsid w:val="00070E10"/>
    <w:rsid w:val="00071277"/>
    <w:rsid w:val="00071454"/>
    <w:rsid w:val="00071941"/>
    <w:rsid w:val="000719AD"/>
    <w:rsid w:val="00071A46"/>
    <w:rsid w:val="00071A9B"/>
    <w:rsid w:val="00071B33"/>
    <w:rsid w:val="00071D22"/>
    <w:rsid w:val="00071EBC"/>
    <w:rsid w:val="000727A8"/>
    <w:rsid w:val="0007282F"/>
    <w:rsid w:val="0007292A"/>
    <w:rsid w:val="00072E01"/>
    <w:rsid w:val="00072E14"/>
    <w:rsid w:val="00073166"/>
    <w:rsid w:val="00073189"/>
    <w:rsid w:val="00073236"/>
    <w:rsid w:val="00073765"/>
    <w:rsid w:val="00073B20"/>
    <w:rsid w:val="00073C62"/>
    <w:rsid w:val="00073D96"/>
    <w:rsid w:val="0007411D"/>
    <w:rsid w:val="000741FC"/>
    <w:rsid w:val="00074248"/>
    <w:rsid w:val="00074367"/>
    <w:rsid w:val="000744FD"/>
    <w:rsid w:val="00074798"/>
    <w:rsid w:val="00074D35"/>
    <w:rsid w:val="00074EC0"/>
    <w:rsid w:val="00074F52"/>
    <w:rsid w:val="00075BF9"/>
    <w:rsid w:val="00075F8B"/>
    <w:rsid w:val="0007619F"/>
    <w:rsid w:val="0007622E"/>
    <w:rsid w:val="00076982"/>
    <w:rsid w:val="000769C3"/>
    <w:rsid w:val="00076DE4"/>
    <w:rsid w:val="00076E42"/>
    <w:rsid w:val="00076E8B"/>
    <w:rsid w:val="00077213"/>
    <w:rsid w:val="0007737D"/>
    <w:rsid w:val="00077903"/>
    <w:rsid w:val="00077FAA"/>
    <w:rsid w:val="000802A7"/>
    <w:rsid w:val="0008054B"/>
    <w:rsid w:val="00080677"/>
    <w:rsid w:val="00080DB0"/>
    <w:rsid w:val="00081211"/>
    <w:rsid w:val="000814A6"/>
    <w:rsid w:val="000815E6"/>
    <w:rsid w:val="00081792"/>
    <w:rsid w:val="0008227D"/>
    <w:rsid w:val="000822CE"/>
    <w:rsid w:val="00082822"/>
    <w:rsid w:val="00082A85"/>
    <w:rsid w:val="00082C26"/>
    <w:rsid w:val="00082C77"/>
    <w:rsid w:val="00082F20"/>
    <w:rsid w:val="000832D7"/>
    <w:rsid w:val="000833D6"/>
    <w:rsid w:val="000834BA"/>
    <w:rsid w:val="000834CF"/>
    <w:rsid w:val="000835A4"/>
    <w:rsid w:val="000835DA"/>
    <w:rsid w:val="00083A86"/>
    <w:rsid w:val="00083D5F"/>
    <w:rsid w:val="00083F47"/>
    <w:rsid w:val="00083FFE"/>
    <w:rsid w:val="000841A7"/>
    <w:rsid w:val="00084C6A"/>
    <w:rsid w:val="000853EE"/>
    <w:rsid w:val="00085624"/>
    <w:rsid w:val="00085684"/>
    <w:rsid w:val="00085A4B"/>
    <w:rsid w:val="00085D63"/>
    <w:rsid w:val="00085DD8"/>
    <w:rsid w:val="00085DF2"/>
    <w:rsid w:val="00086087"/>
    <w:rsid w:val="000869AA"/>
    <w:rsid w:val="00086AD4"/>
    <w:rsid w:val="00086CB1"/>
    <w:rsid w:val="00086CB8"/>
    <w:rsid w:val="00086DF9"/>
    <w:rsid w:val="00087071"/>
    <w:rsid w:val="000873C1"/>
    <w:rsid w:val="00087431"/>
    <w:rsid w:val="0008755C"/>
    <w:rsid w:val="0008778E"/>
    <w:rsid w:val="00087800"/>
    <w:rsid w:val="00087AFB"/>
    <w:rsid w:val="00087B1D"/>
    <w:rsid w:val="00087FFA"/>
    <w:rsid w:val="00090085"/>
    <w:rsid w:val="000907DC"/>
    <w:rsid w:val="00090DCE"/>
    <w:rsid w:val="0009130E"/>
    <w:rsid w:val="000913B9"/>
    <w:rsid w:val="0009143B"/>
    <w:rsid w:val="00091686"/>
    <w:rsid w:val="000916CF"/>
    <w:rsid w:val="00091996"/>
    <w:rsid w:val="00091A8B"/>
    <w:rsid w:val="00091E87"/>
    <w:rsid w:val="00091F58"/>
    <w:rsid w:val="00091F83"/>
    <w:rsid w:val="00092212"/>
    <w:rsid w:val="00092535"/>
    <w:rsid w:val="00092B29"/>
    <w:rsid w:val="000930D3"/>
    <w:rsid w:val="00093442"/>
    <w:rsid w:val="000941E6"/>
    <w:rsid w:val="00094857"/>
    <w:rsid w:val="00094A04"/>
    <w:rsid w:val="00094B11"/>
    <w:rsid w:val="00094B80"/>
    <w:rsid w:val="00094BF8"/>
    <w:rsid w:val="00094D18"/>
    <w:rsid w:val="00094F54"/>
    <w:rsid w:val="00095065"/>
    <w:rsid w:val="000951FF"/>
    <w:rsid w:val="0009537D"/>
    <w:rsid w:val="00095529"/>
    <w:rsid w:val="00095BB8"/>
    <w:rsid w:val="00095EA7"/>
    <w:rsid w:val="00096190"/>
    <w:rsid w:val="000961D1"/>
    <w:rsid w:val="00096729"/>
    <w:rsid w:val="00096790"/>
    <w:rsid w:val="00096870"/>
    <w:rsid w:val="00096A49"/>
    <w:rsid w:val="00096F55"/>
    <w:rsid w:val="00097518"/>
    <w:rsid w:val="000977AF"/>
    <w:rsid w:val="00097B60"/>
    <w:rsid w:val="00097C04"/>
    <w:rsid w:val="00097FF7"/>
    <w:rsid w:val="000A035A"/>
    <w:rsid w:val="000A0549"/>
    <w:rsid w:val="000A05B8"/>
    <w:rsid w:val="000A05C6"/>
    <w:rsid w:val="000A07B1"/>
    <w:rsid w:val="000A0AEC"/>
    <w:rsid w:val="000A0B8C"/>
    <w:rsid w:val="000A0CE9"/>
    <w:rsid w:val="000A0E86"/>
    <w:rsid w:val="000A0EAB"/>
    <w:rsid w:val="000A1093"/>
    <w:rsid w:val="000A1337"/>
    <w:rsid w:val="000A175F"/>
    <w:rsid w:val="000A19CE"/>
    <w:rsid w:val="000A1CCE"/>
    <w:rsid w:val="000A1EB8"/>
    <w:rsid w:val="000A2B60"/>
    <w:rsid w:val="000A2C05"/>
    <w:rsid w:val="000A2CC8"/>
    <w:rsid w:val="000A2CFD"/>
    <w:rsid w:val="000A30DD"/>
    <w:rsid w:val="000A3543"/>
    <w:rsid w:val="000A3741"/>
    <w:rsid w:val="000A38C8"/>
    <w:rsid w:val="000A3917"/>
    <w:rsid w:val="000A3AF7"/>
    <w:rsid w:val="000A3B8D"/>
    <w:rsid w:val="000A46A7"/>
    <w:rsid w:val="000A4946"/>
    <w:rsid w:val="000A4948"/>
    <w:rsid w:val="000A4B09"/>
    <w:rsid w:val="000A4B18"/>
    <w:rsid w:val="000A4D1C"/>
    <w:rsid w:val="000A4DCE"/>
    <w:rsid w:val="000A5030"/>
    <w:rsid w:val="000A53E6"/>
    <w:rsid w:val="000A5591"/>
    <w:rsid w:val="000A5655"/>
    <w:rsid w:val="000A5661"/>
    <w:rsid w:val="000A5668"/>
    <w:rsid w:val="000A5D69"/>
    <w:rsid w:val="000A5DF3"/>
    <w:rsid w:val="000A6224"/>
    <w:rsid w:val="000A6A19"/>
    <w:rsid w:val="000A6FDB"/>
    <w:rsid w:val="000A70ED"/>
    <w:rsid w:val="000A7272"/>
    <w:rsid w:val="000A7710"/>
    <w:rsid w:val="000A7711"/>
    <w:rsid w:val="000B0289"/>
    <w:rsid w:val="000B0362"/>
    <w:rsid w:val="000B05ED"/>
    <w:rsid w:val="000B106A"/>
    <w:rsid w:val="000B1152"/>
    <w:rsid w:val="000B1C06"/>
    <w:rsid w:val="000B1FEF"/>
    <w:rsid w:val="000B20D0"/>
    <w:rsid w:val="000B2255"/>
    <w:rsid w:val="000B2695"/>
    <w:rsid w:val="000B29AD"/>
    <w:rsid w:val="000B2C50"/>
    <w:rsid w:val="000B2C8A"/>
    <w:rsid w:val="000B2DF2"/>
    <w:rsid w:val="000B2EB6"/>
    <w:rsid w:val="000B3071"/>
    <w:rsid w:val="000B3695"/>
    <w:rsid w:val="000B427D"/>
    <w:rsid w:val="000B4360"/>
    <w:rsid w:val="000B4412"/>
    <w:rsid w:val="000B46A3"/>
    <w:rsid w:val="000B46E7"/>
    <w:rsid w:val="000B49E7"/>
    <w:rsid w:val="000B4B8D"/>
    <w:rsid w:val="000B4EA4"/>
    <w:rsid w:val="000B5070"/>
    <w:rsid w:val="000B5173"/>
    <w:rsid w:val="000B5441"/>
    <w:rsid w:val="000B562E"/>
    <w:rsid w:val="000B577A"/>
    <w:rsid w:val="000B57E1"/>
    <w:rsid w:val="000B58F2"/>
    <w:rsid w:val="000B612F"/>
    <w:rsid w:val="000B628B"/>
    <w:rsid w:val="000B6729"/>
    <w:rsid w:val="000B67BA"/>
    <w:rsid w:val="000B68CA"/>
    <w:rsid w:val="000B7431"/>
    <w:rsid w:val="000B7624"/>
    <w:rsid w:val="000B7770"/>
    <w:rsid w:val="000B7866"/>
    <w:rsid w:val="000B7C7F"/>
    <w:rsid w:val="000C0333"/>
    <w:rsid w:val="000C03A9"/>
    <w:rsid w:val="000C0A20"/>
    <w:rsid w:val="000C0CB6"/>
    <w:rsid w:val="000C0CEB"/>
    <w:rsid w:val="000C1139"/>
    <w:rsid w:val="000C1292"/>
    <w:rsid w:val="000C14F0"/>
    <w:rsid w:val="000C19B5"/>
    <w:rsid w:val="000C1A0D"/>
    <w:rsid w:val="000C1D05"/>
    <w:rsid w:val="000C217F"/>
    <w:rsid w:val="000C2238"/>
    <w:rsid w:val="000C229B"/>
    <w:rsid w:val="000C22ED"/>
    <w:rsid w:val="000C2362"/>
    <w:rsid w:val="000C2604"/>
    <w:rsid w:val="000C2626"/>
    <w:rsid w:val="000C27BE"/>
    <w:rsid w:val="000C2962"/>
    <w:rsid w:val="000C2A47"/>
    <w:rsid w:val="000C2CAA"/>
    <w:rsid w:val="000C2DE4"/>
    <w:rsid w:val="000C3269"/>
    <w:rsid w:val="000C37C9"/>
    <w:rsid w:val="000C3982"/>
    <w:rsid w:val="000C39F3"/>
    <w:rsid w:val="000C3D27"/>
    <w:rsid w:val="000C3E99"/>
    <w:rsid w:val="000C3F8B"/>
    <w:rsid w:val="000C4093"/>
    <w:rsid w:val="000C4344"/>
    <w:rsid w:val="000C452E"/>
    <w:rsid w:val="000C455C"/>
    <w:rsid w:val="000C461A"/>
    <w:rsid w:val="000C48FB"/>
    <w:rsid w:val="000C4B06"/>
    <w:rsid w:val="000C4F9C"/>
    <w:rsid w:val="000C5336"/>
    <w:rsid w:val="000C537D"/>
    <w:rsid w:val="000C5576"/>
    <w:rsid w:val="000C55F5"/>
    <w:rsid w:val="000C57B3"/>
    <w:rsid w:val="000C57BE"/>
    <w:rsid w:val="000C5DBE"/>
    <w:rsid w:val="000C6006"/>
    <w:rsid w:val="000C64EF"/>
    <w:rsid w:val="000C656D"/>
    <w:rsid w:val="000C6A53"/>
    <w:rsid w:val="000C73FD"/>
    <w:rsid w:val="000C7945"/>
    <w:rsid w:val="000C7D3B"/>
    <w:rsid w:val="000D072F"/>
    <w:rsid w:val="000D08B6"/>
    <w:rsid w:val="000D0A23"/>
    <w:rsid w:val="000D0DCA"/>
    <w:rsid w:val="000D0E86"/>
    <w:rsid w:val="000D10F6"/>
    <w:rsid w:val="000D1969"/>
    <w:rsid w:val="000D1A28"/>
    <w:rsid w:val="000D1B40"/>
    <w:rsid w:val="000D1DC5"/>
    <w:rsid w:val="000D2849"/>
    <w:rsid w:val="000D2CC4"/>
    <w:rsid w:val="000D2EF4"/>
    <w:rsid w:val="000D309C"/>
    <w:rsid w:val="000D355C"/>
    <w:rsid w:val="000D37A9"/>
    <w:rsid w:val="000D3DE1"/>
    <w:rsid w:val="000D3EB7"/>
    <w:rsid w:val="000D3F04"/>
    <w:rsid w:val="000D40F5"/>
    <w:rsid w:val="000D42C0"/>
    <w:rsid w:val="000D463E"/>
    <w:rsid w:val="000D46FF"/>
    <w:rsid w:val="000D4797"/>
    <w:rsid w:val="000D4A50"/>
    <w:rsid w:val="000D4F8A"/>
    <w:rsid w:val="000D4FAF"/>
    <w:rsid w:val="000D4FBC"/>
    <w:rsid w:val="000D5035"/>
    <w:rsid w:val="000D51EF"/>
    <w:rsid w:val="000D5219"/>
    <w:rsid w:val="000D5224"/>
    <w:rsid w:val="000D555A"/>
    <w:rsid w:val="000D6167"/>
    <w:rsid w:val="000D61CC"/>
    <w:rsid w:val="000D61F9"/>
    <w:rsid w:val="000D6381"/>
    <w:rsid w:val="000D63A5"/>
    <w:rsid w:val="000D6581"/>
    <w:rsid w:val="000D67E2"/>
    <w:rsid w:val="000D6956"/>
    <w:rsid w:val="000D699D"/>
    <w:rsid w:val="000D77C9"/>
    <w:rsid w:val="000D7AF0"/>
    <w:rsid w:val="000E0392"/>
    <w:rsid w:val="000E0440"/>
    <w:rsid w:val="000E0686"/>
    <w:rsid w:val="000E094C"/>
    <w:rsid w:val="000E0A49"/>
    <w:rsid w:val="000E0A96"/>
    <w:rsid w:val="000E0B55"/>
    <w:rsid w:val="000E0B82"/>
    <w:rsid w:val="000E0DED"/>
    <w:rsid w:val="000E13CF"/>
    <w:rsid w:val="000E14C7"/>
    <w:rsid w:val="000E1522"/>
    <w:rsid w:val="000E15E2"/>
    <w:rsid w:val="000E1637"/>
    <w:rsid w:val="000E167C"/>
    <w:rsid w:val="000E1724"/>
    <w:rsid w:val="000E1768"/>
    <w:rsid w:val="000E1946"/>
    <w:rsid w:val="000E1AC2"/>
    <w:rsid w:val="000E1ECD"/>
    <w:rsid w:val="000E1ED1"/>
    <w:rsid w:val="000E1F67"/>
    <w:rsid w:val="000E1FDC"/>
    <w:rsid w:val="000E2063"/>
    <w:rsid w:val="000E2735"/>
    <w:rsid w:val="000E29A2"/>
    <w:rsid w:val="000E2A09"/>
    <w:rsid w:val="000E2DBB"/>
    <w:rsid w:val="000E2F66"/>
    <w:rsid w:val="000E3052"/>
    <w:rsid w:val="000E3367"/>
    <w:rsid w:val="000E33AA"/>
    <w:rsid w:val="000E3401"/>
    <w:rsid w:val="000E35A0"/>
    <w:rsid w:val="000E3775"/>
    <w:rsid w:val="000E397D"/>
    <w:rsid w:val="000E3C56"/>
    <w:rsid w:val="000E3DF6"/>
    <w:rsid w:val="000E3E47"/>
    <w:rsid w:val="000E3F3A"/>
    <w:rsid w:val="000E402A"/>
    <w:rsid w:val="000E4360"/>
    <w:rsid w:val="000E4396"/>
    <w:rsid w:val="000E4557"/>
    <w:rsid w:val="000E47D6"/>
    <w:rsid w:val="000E4A10"/>
    <w:rsid w:val="000E4C0D"/>
    <w:rsid w:val="000E58CE"/>
    <w:rsid w:val="000E5A99"/>
    <w:rsid w:val="000E6055"/>
    <w:rsid w:val="000E6534"/>
    <w:rsid w:val="000E6561"/>
    <w:rsid w:val="000E65CF"/>
    <w:rsid w:val="000E6AE2"/>
    <w:rsid w:val="000E6BF0"/>
    <w:rsid w:val="000E6C4A"/>
    <w:rsid w:val="000E7144"/>
    <w:rsid w:val="000E743E"/>
    <w:rsid w:val="000E7842"/>
    <w:rsid w:val="000E7BD2"/>
    <w:rsid w:val="000E7D92"/>
    <w:rsid w:val="000E7E06"/>
    <w:rsid w:val="000F0141"/>
    <w:rsid w:val="000F04D5"/>
    <w:rsid w:val="000F0D12"/>
    <w:rsid w:val="000F10E5"/>
    <w:rsid w:val="000F1156"/>
    <w:rsid w:val="000F117F"/>
    <w:rsid w:val="000F13EE"/>
    <w:rsid w:val="000F14FF"/>
    <w:rsid w:val="000F18C4"/>
    <w:rsid w:val="000F1BEF"/>
    <w:rsid w:val="000F1C60"/>
    <w:rsid w:val="000F1D83"/>
    <w:rsid w:val="000F2C98"/>
    <w:rsid w:val="000F2D6A"/>
    <w:rsid w:val="000F3248"/>
    <w:rsid w:val="000F326D"/>
    <w:rsid w:val="000F3337"/>
    <w:rsid w:val="000F353E"/>
    <w:rsid w:val="000F387A"/>
    <w:rsid w:val="000F389A"/>
    <w:rsid w:val="000F38F0"/>
    <w:rsid w:val="000F3C9B"/>
    <w:rsid w:val="000F3F5F"/>
    <w:rsid w:val="000F4422"/>
    <w:rsid w:val="000F44E5"/>
    <w:rsid w:val="000F45BB"/>
    <w:rsid w:val="000F4626"/>
    <w:rsid w:val="000F4D6F"/>
    <w:rsid w:val="000F517E"/>
    <w:rsid w:val="000F5483"/>
    <w:rsid w:val="000F5D66"/>
    <w:rsid w:val="000F600C"/>
    <w:rsid w:val="000F64EA"/>
    <w:rsid w:val="000F6841"/>
    <w:rsid w:val="000F7009"/>
    <w:rsid w:val="000F7182"/>
    <w:rsid w:val="000F7F35"/>
    <w:rsid w:val="0010021D"/>
    <w:rsid w:val="00100792"/>
    <w:rsid w:val="00100863"/>
    <w:rsid w:val="00100D09"/>
    <w:rsid w:val="00100D94"/>
    <w:rsid w:val="00101052"/>
    <w:rsid w:val="0010152D"/>
    <w:rsid w:val="00101646"/>
    <w:rsid w:val="0010164C"/>
    <w:rsid w:val="001018AC"/>
    <w:rsid w:val="00102245"/>
    <w:rsid w:val="00102826"/>
    <w:rsid w:val="00102B1A"/>
    <w:rsid w:val="00102BA3"/>
    <w:rsid w:val="00102E08"/>
    <w:rsid w:val="001031B8"/>
    <w:rsid w:val="001032B3"/>
    <w:rsid w:val="0010353A"/>
    <w:rsid w:val="001036C7"/>
    <w:rsid w:val="0010370D"/>
    <w:rsid w:val="001039B0"/>
    <w:rsid w:val="00103C48"/>
    <w:rsid w:val="00103C90"/>
    <w:rsid w:val="00104125"/>
    <w:rsid w:val="001042F4"/>
    <w:rsid w:val="00104377"/>
    <w:rsid w:val="001045A4"/>
    <w:rsid w:val="001045BF"/>
    <w:rsid w:val="00104F15"/>
    <w:rsid w:val="00105048"/>
    <w:rsid w:val="0010516B"/>
    <w:rsid w:val="0010539E"/>
    <w:rsid w:val="00105A69"/>
    <w:rsid w:val="00105AAA"/>
    <w:rsid w:val="00105BC3"/>
    <w:rsid w:val="00106251"/>
    <w:rsid w:val="001067C6"/>
    <w:rsid w:val="00106A20"/>
    <w:rsid w:val="00106D5A"/>
    <w:rsid w:val="0010730D"/>
    <w:rsid w:val="0010739C"/>
    <w:rsid w:val="001075F9"/>
    <w:rsid w:val="001078CA"/>
    <w:rsid w:val="00107C87"/>
    <w:rsid w:val="00110932"/>
    <w:rsid w:val="00110BA7"/>
    <w:rsid w:val="00110D94"/>
    <w:rsid w:val="00110DCF"/>
    <w:rsid w:val="00110F3C"/>
    <w:rsid w:val="00111262"/>
    <w:rsid w:val="0011144E"/>
    <w:rsid w:val="001115BA"/>
    <w:rsid w:val="001118B3"/>
    <w:rsid w:val="0011193E"/>
    <w:rsid w:val="0011194D"/>
    <w:rsid w:val="00111BF6"/>
    <w:rsid w:val="001120EB"/>
    <w:rsid w:val="0011247A"/>
    <w:rsid w:val="00112593"/>
    <w:rsid w:val="001126F4"/>
    <w:rsid w:val="00112D97"/>
    <w:rsid w:val="00112DDA"/>
    <w:rsid w:val="0011310A"/>
    <w:rsid w:val="00113294"/>
    <w:rsid w:val="001133D7"/>
    <w:rsid w:val="0011373A"/>
    <w:rsid w:val="001137CC"/>
    <w:rsid w:val="00113878"/>
    <w:rsid w:val="00113DE9"/>
    <w:rsid w:val="00114047"/>
    <w:rsid w:val="00114143"/>
    <w:rsid w:val="0011423A"/>
    <w:rsid w:val="00114466"/>
    <w:rsid w:val="0011484D"/>
    <w:rsid w:val="001149FB"/>
    <w:rsid w:val="00114A6F"/>
    <w:rsid w:val="00114B21"/>
    <w:rsid w:val="00114DD6"/>
    <w:rsid w:val="00115A92"/>
    <w:rsid w:val="00115B40"/>
    <w:rsid w:val="00115C10"/>
    <w:rsid w:val="00115C8F"/>
    <w:rsid w:val="00115CD2"/>
    <w:rsid w:val="0011622B"/>
    <w:rsid w:val="00116250"/>
    <w:rsid w:val="00116976"/>
    <w:rsid w:val="00117108"/>
    <w:rsid w:val="001172B9"/>
    <w:rsid w:val="0011752C"/>
    <w:rsid w:val="00117835"/>
    <w:rsid w:val="00117A7A"/>
    <w:rsid w:val="00117E84"/>
    <w:rsid w:val="00117FBB"/>
    <w:rsid w:val="001207D0"/>
    <w:rsid w:val="00120E62"/>
    <w:rsid w:val="0012130D"/>
    <w:rsid w:val="00121322"/>
    <w:rsid w:val="00121499"/>
    <w:rsid w:val="001217C8"/>
    <w:rsid w:val="00121D41"/>
    <w:rsid w:val="00121EA2"/>
    <w:rsid w:val="00121FCC"/>
    <w:rsid w:val="001222EF"/>
    <w:rsid w:val="001225F6"/>
    <w:rsid w:val="00122726"/>
    <w:rsid w:val="0012287B"/>
    <w:rsid w:val="00122C9B"/>
    <w:rsid w:val="00122F4F"/>
    <w:rsid w:val="0012302F"/>
    <w:rsid w:val="00123073"/>
    <w:rsid w:val="00123084"/>
    <w:rsid w:val="001230B5"/>
    <w:rsid w:val="0012318D"/>
    <w:rsid w:val="0012368A"/>
    <w:rsid w:val="001237F5"/>
    <w:rsid w:val="001237FB"/>
    <w:rsid w:val="001238E1"/>
    <w:rsid w:val="00123A9E"/>
    <w:rsid w:val="0012401F"/>
    <w:rsid w:val="00124041"/>
    <w:rsid w:val="00124256"/>
    <w:rsid w:val="0012447E"/>
    <w:rsid w:val="00124587"/>
    <w:rsid w:val="001245A6"/>
    <w:rsid w:val="00124621"/>
    <w:rsid w:val="00124A7A"/>
    <w:rsid w:val="00124D03"/>
    <w:rsid w:val="0012516F"/>
    <w:rsid w:val="00125441"/>
    <w:rsid w:val="001255F0"/>
    <w:rsid w:val="00125A98"/>
    <w:rsid w:val="00125EA3"/>
    <w:rsid w:val="001260AE"/>
    <w:rsid w:val="001266EF"/>
    <w:rsid w:val="00126C44"/>
    <w:rsid w:val="00126DAB"/>
    <w:rsid w:val="001272C4"/>
    <w:rsid w:val="001274C7"/>
    <w:rsid w:val="001279E0"/>
    <w:rsid w:val="00127E69"/>
    <w:rsid w:val="0013007D"/>
    <w:rsid w:val="001300D1"/>
    <w:rsid w:val="0013018D"/>
    <w:rsid w:val="001304D2"/>
    <w:rsid w:val="00130864"/>
    <w:rsid w:val="00130B01"/>
    <w:rsid w:val="00130C20"/>
    <w:rsid w:val="00130DD3"/>
    <w:rsid w:val="00130F5D"/>
    <w:rsid w:val="00131261"/>
    <w:rsid w:val="00131511"/>
    <w:rsid w:val="00131643"/>
    <w:rsid w:val="00131917"/>
    <w:rsid w:val="00131AA8"/>
    <w:rsid w:val="00131B47"/>
    <w:rsid w:val="00132BCA"/>
    <w:rsid w:val="00132C68"/>
    <w:rsid w:val="001330D3"/>
    <w:rsid w:val="0013316B"/>
    <w:rsid w:val="001332B8"/>
    <w:rsid w:val="00133615"/>
    <w:rsid w:val="0013382A"/>
    <w:rsid w:val="00133A5D"/>
    <w:rsid w:val="00133FB5"/>
    <w:rsid w:val="00134036"/>
    <w:rsid w:val="00134174"/>
    <w:rsid w:val="001341FB"/>
    <w:rsid w:val="00134599"/>
    <w:rsid w:val="001345CD"/>
    <w:rsid w:val="001348EA"/>
    <w:rsid w:val="00134CFD"/>
    <w:rsid w:val="00134F53"/>
    <w:rsid w:val="00135294"/>
    <w:rsid w:val="00135484"/>
    <w:rsid w:val="00135604"/>
    <w:rsid w:val="0013571F"/>
    <w:rsid w:val="001358A7"/>
    <w:rsid w:val="00135AD0"/>
    <w:rsid w:val="00135C90"/>
    <w:rsid w:val="00135D4D"/>
    <w:rsid w:val="00135E39"/>
    <w:rsid w:val="00136029"/>
    <w:rsid w:val="00136052"/>
    <w:rsid w:val="001360BC"/>
    <w:rsid w:val="00136190"/>
    <w:rsid w:val="001362C2"/>
    <w:rsid w:val="00136381"/>
    <w:rsid w:val="00136457"/>
    <w:rsid w:val="0013674B"/>
    <w:rsid w:val="00136A68"/>
    <w:rsid w:val="00136BF6"/>
    <w:rsid w:val="00136C98"/>
    <w:rsid w:val="00136D87"/>
    <w:rsid w:val="0013709E"/>
    <w:rsid w:val="001373F0"/>
    <w:rsid w:val="00137408"/>
    <w:rsid w:val="001376A8"/>
    <w:rsid w:val="001377AA"/>
    <w:rsid w:val="00137FD6"/>
    <w:rsid w:val="00140064"/>
    <w:rsid w:val="00140079"/>
    <w:rsid w:val="00140367"/>
    <w:rsid w:val="00140477"/>
    <w:rsid w:val="001406B5"/>
    <w:rsid w:val="0014090C"/>
    <w:rsid w:val="00140AAD"/>
    <w:rsid w:val="00140AB4"/>
    <w:rsid w:val="00140DB0"/>
    <w:rsid w:val="00140E95"/>
    <w:rsid w:val="00141470"/>
    <w:rsid w:val="00141A57"/>
    <w:rsid w:val="00141DA1"/>
    <w:rsid w:val="00141E93"/>
    <w:rsid w:val="001422DC"/>
    <w:rsid w:val="00142743"/>
    <w:rsid w:val="001427CA"/>
    <w:rsid w:val="001428CC"/>
    <w:rsid w:val="00142C0C"/>
    <w:rsid w:val="00142DA5"/>
    <w:rsid w:val="0014365E"/>
    <w:rsid w:val="001438CB"/>
    <w:rsid w:val="00143A31"/>
    <w:rsid w:val="00143C99"/>
    <w:rsid w:val="001440A5"/>
    <w:rsid w:val="001440ED"/>
    <w:rsid w:val="0014423E"/>
    <w:rsid w:val="001442A9"/>
    <w:rsid w:val="001442BB"/>
    <w:rsid w:val="001445C9"/>
    <w:rsid w:val="0014492D"/>
    <w:rsid w:val="00144979"/>
    <w:rsid w:val="001449AD"/>
    <w:rsid w:val="00144E28"/>
    <w:rsid w:val="00145012"/>
    <w:rsid w:val="00145566"/>
    <w:rsid w:val="001455B9"/>
    <w:rsid w:val="00145707"/>
    <w:rsid w:val="00145BD3"/>
    <w:rsid w:val="00145CE5"/>
    <w:rsid w:val="00145E44"/>
    <w:rsid w:val="00146520"/>
    <w:rsid w:val="001466C1"/>
    <w:rsid w:val="00146720"/>
    <w:rsid w:val="00146B63"/>
    <w:rsid w:val="00146ED5"/>
    <w:rsid w:val="00146F12"/>
    <w:rsid w:val="001470F1"/>
    <w:rsid w:val="00147456"/>
    <w:rsid w:val="00147750"/>
    <w:rsid w:val="00147793"/>
    <w:rsid w:val="00147854"/>
    <w:rsid w:val="001478E3"/>
    <w:rsid w:val="00147D33"/>
    <w:rsid w:val="00147E65"/>
    <w:rsid w:val="001502D6"/>
    <w:rsid w:val="00150305"/>
    <w:rsid w:val="00150987"/>
    <w:rsid w:val="00151176"/>
    <w:rsid w:val="00151505"/>
    <w:rsid w:val="00151607"/>
    <w:rsid w:val="0015172F"/>
    <w:rsid w:val="00151D3C"/>
    <w:rsid w:val="0015213B"/>
    <w:rsid w:val="00152162"/>
    <w:rsid w:val="00152333"/>
    <w:rsid w:val="0015251E"/>
    <w:rsid w:val="0015275D"/>
    <w:rsid w:val="0015293A"/>
    <w:rsid w:val="00152CAE"/>
    <w:rsid w:val="001530BC"/>
    <w:rsid w:val="00153254"/>
    <w:rsid w:val="00153475"/>
    <w:rsid w:val="00153A81"/>
    <w:rsid w:val="00153C77"/>
    <w:rsid w:val="00153D20"/>
    <w:rsid w:val="0015413A"/>
    <w:rsid w:val="001546B4"/>
    <w:rsid w:val="00154D00"/>
    <w:rsid w:val="001556E4"/>
    <w:rsid w:val="001558B4"/>
    <w:rsid w:val="001558C7"/>
    <w:rsid w:val="00155AA6"/>
    <w:rsid w:val="00155B6C"/>
    <w:rsid w:val="00155C5D"/>
    <w:rsid w:val="00155C89"/>
    <w:rsid w:val="00155D05"/>
    <w:rsid w:val="00155EE3"/>
    <w:rsid w:val="00155F35"/>
    <w:rsid w:val="001562B5"/>
    <w:rsid w:val="001562D2"/>
    <w:rsid w:val="00156553"/>
    <w:rsid w:val="0015658F"/>
    <w:rsid w:val="00156CF8"/>
    <w:rsid w:val="00156D92"/>
    <w:rsid w:val="0016028A"/>
    <w:rsid w:val="001602F0"/>
    <w:rsid w:val="001603F0"/>
    <w:rsid w:val="001609A3"/>
    <w:rsid w:val="00160F1E"/>
    <w:rsid w:val="00161558"/>
    <w:rsid w:val="00161A90"/>
    <w:rsid w:val="0016216B"/>
    <w:rsid w:val="001621DB"/>
    <w:rsid w:val="001621E9"/>
    <w:rsid w:val="001631B2"/>
    <w:rsid w:val="0016329B"/>
    <w:rsid w:val="001632D1"/>
    <w:rsid w:val="00163419"/>
    <w:rsid w:val="0016453A"/>
    <w:rsid w:val="00164906"/>
    <w:rsid w:val="001649EB"/>
    <w:rsid w:val="00164FBA"/>
    <w:rsid w:val="0016539F"/>
    <w:rsid w:val="00165489"/>
    <w:rsid w:val="001654EF"/>
    <w:rsid w:val="001655AA"/>
    <w:rsid w:val="001657B1"/>
    <w:rsid w:val="00165805"/>
    <w:rsid w:val="00165842"/>
    <w:rsid w:val="00165BF6"/>
    <w:rsid w:val="0016621B"/>
    <w:rsid w:val="001662C8"/>
    <w:rsid w:val="0016639E"/>
    <w:rsid w:val="00166709"/>
    <w:rsid w:val="00166D44"/>
    <w:rsid w:val="00166E91"/>
    <w:rsid w:val="0016730D"/>
    <w:rsid w:val="00167317"/>
    <w:rsid w:val="00167341"/>
    <w:rsid w:val="0016749F"/>
    <w:rsid w:val="001678E1"/>
    <w:rsid w:val="00167BF2"/>
    <w:rsid w:val="00167FCF"/>
    <w:rsid w:val="00170255"/>
    <w:rsid w:val="001706A5"/>
    <w:rsid w:val="00170887"/>
    <w:rsid w:val="00170910"/>
    <w:rsid w:val="00170B55"/>
    <w:rsid w:val="00170ED7"/>
    <w:rsid w:val="00171647"/>
    <w:rsid w:val="0017178D"/>
    <w:rsid w:val="001719C3"/>
    <w:rsid w:val="00171E60"/>
    <w:rsid w:val="00172124"/>
    <w:rsid w:val="00172565"/>
    <w:rsid w:val="00172AD8"/>
    <w:rsid w:val="00172AF1"/>
    <w:rsid w:val="00172D1C"/>
    <w:rsid w:val="0017300D"/>
    <w:rsid w:val="0017303D"/>
    <w:rsid w:val="00173BDB"/>
    <w:rsid w:val="00173CAB"/>
    <w:rsid w:val="0017401A"/>
    <w:rsid w:val="00174DB8"/>
    <w:rsid w:val="001750A0"/>
    <w:rsid w:val="001750CE"/>
    <w:rsid w:val="001753FC"/>
    <w:rsid w:val="0017590D"/>
    <w:rsid w:val="001759EA"/>
    <w:rsid w:val="00175DA7"/>
    <w:rsid w:val="00175F01"/>
    <w:rsid w:val="00176118"/>
    <w:rsid w:val="00176936"/>
    <w:rsid w:val="00176A59"/>
    <w:rsid w:val="00176B6D"/>
    <w:rsid w:val="00176C59"/>
    <w:rsid w:val="00176D1C"/>
    <w:rsid w:val="00177051"/>
    <w:rsid w:val="00177564"/>
    <w:rsid w:val="0017759B"/>
    <w:rsid w:val="001779E2"/>
    <w:rsid w:val="00177F47"/>
    <w:rsid w:val="00177FD7"/>
    <w:rsid w:val="00180059"/>
    <w:rsid w:val="001802D0"/>
    <w:rsid w:val="001802D4"/>
    <w:rsid w:val="00180530"/>
    <w:rsid w:val="0018053B"/>
    <w:rsid w:val="00180554"/>
    <w:rsid w:val="00180D07"/>
    <w:rsid w:val="00180D73"/>
    <w:rsid w:val="00180E78"/>
    <w:rsid w:val="0018123E"/>
    <w:rsid w:val="001814A2"/>
    <w:rsid w:val="001814BB"/>
    <w:rsid w:val="001817B7"/>
    <w:rsid w:val="001818BC"/>
    <w:rsid w:val="001818EA"/>
    <w:rsid w:val="001826FE"/>
    <w:rsid w:val="001827DD"/>
    <w:rsid w:val="001829BC"/>
    <w:rsid w:val="00182A6D"/>
    <w:rsid w:val="00182B1E"/>
    <w:rsid w:val="001832FA"/>
    <w:rsid w:val="001835A9"/>
    <w:rsid w:val="00184A58"/>
    <w:rsid w:val="00184AD9"/>
    <w:rsid w:val="00184B01"/>
    <w:rsid w:val="00184BE7"/>
    <w:rsid w:val="00184D96"/>
    <w:rsid w:val="00184DD2"/>
    <w:rsid w:val="00185104"/>
    <w:rsid w:val="0018520D"/>
    <w:rsid w:val="00185545"/>
    <w:rsid w:val="001857C5"/>
    <w:rsid w:val="0018613A"/>
    <w:rsid w:val="0018649C"/>
    <w:rsid w:val="0018654C"/>
    <w:rsid w:val="0018683A"/>
    <w:rsid w:val="00186AD1"/>
    <w:rsid w:val="00186B02"/>
    <w:rsid w:val="00186B4E"/>
    <w:rsid w:val="00186B63"/>
    <w:rsid w:val="00186BF4"/>
    <w:rsid w:val="00186F50"/>
    <w:rsid w:val="00187272"/>
    <w:rsid w:val="00187643"/>
    <w:rsid w:val="00187D80"/>
    <w:rsid w:val="00190070"/>
    <w:rsid w:val="001903DE"/>
    <w:rsid w:val="00190990"/>
    <w:rsid w:val="00190A1B"/>
    <w:rsid w:val="00190CF5"/>
    <w:rsid w:val="001911F5"/>
    <w:rsid w:val="001913FB"/>
    <w:rsid w:val="00191478"/>
    <w:rsid w:val="001916B3"/>
    <w:rsid w:val="001916F8"/>
    <w:rsid w:val="0019179C"/>
    <w:rsid w:val="00191C5D"/>
    <w:rsid w:val="00191EB7"/>
    <w:rsid w:val="00192073"/>
    <w:rsid w:val="0019234B"/>
    <w:rsid w:val="00192456"/>
    <w:rsid w:val="001924A5"/>
    <w:rsid w:val="0019292E"/>
    <w:rsid w:val="00192B98"/>
    <w:rsid w:val="00192E96"/>
    <w:rsid w:val="001930AB"/>
    <w:rsid w:val="0019347B"/>
    <w:rsid w:val="00193993"/>
    <w:rsid w:val="00193F67"/>
    <w:rsid w:val="001944ED"/>
    <w:rsid w:val="0019522F"/>
    <w:rsid w:val="00195232"/>
    <w:rsid w:val="001952B9"/>
    <w:rsid w:val="00195452"/>
    <w:rsid w:val="0019558E"/>
    <w:rsid w:val="001956FB"/>
    <w:rsid w:val="00195E35"/>
    <w:rsid w:val="001962BD"/>
    <w:rsid w:val="0019645D"/>
    <w:rsid w:val="001965B1"/>
    <w:rsid w:val="001965ED"/>
    <w:rsid w:val="001968DC"/>
    <w:rsid w:val="00196A25"/>
    <w:rsid w:val="00196CC9"/>
    <w:rsid w:val="00196D9B"/>
    <w:rsid w:val="00196E5B"/>
    <w:rsid w:val="00197469"/>
    <w:rsid w:val="00197649"/>
    <w:rsid w:val="001976EB"/>
    <w:rsid w:val="001978AA"/>
    <w:rsid w:val="00197E87"/>
    <w:rsid w:val="00197EBB"/>
    <w:rsid w:val="00197F2C"/>
    <w:rsid w:val="0019C210"/>
    <w:rsid w:val="001A048C"/>
    <w:rsid w:val="001A0895"/>
    <w:rsid w:val="001A095D"/>
    <w:rsid w:val="001A0A09"/>
    <w:rsid w:val="001A0DA1"/>
    <w:rsid w:val="001A0FE1"/>
    <w:rsid w:val="001A10B0"/>
    <w:rsid w:val="001A1975"/>
    <w:rsid w:val="001A1C61"/>
    <w:rsid w:val="001A1E7D"/>
    <w:rsid w:val="001A1FB7"/>
    <w:rsid w:val="001A206B"/>
    <w:rsid w:val="001A2237"/>
    <w:rsid w:val="001A2518"/>
    <w:rsid w:val="001A2B93"/>
    <w:rsid w:val="001A2D39"/>
    <w:rsid w:val="001A2D49"/>
    <w:rsid w:val="001A2FC4"/>
    <w:rsid w:val="001A3167"/>
    <w:rsid w:val="001A32C8"/>
    <w:rsid w:val="001A32DF"/>
    <w:rsid w:val="001A32E3"/>
    <w:rsid w:val="001A33E3"/>
    <w:rsid w:val="001A3ED4"/>
    <w:rsid w:val="001A3F22"/>
    <w:rsid w:val="001A4032"/>
    <w:rsid w:val="001A430A"/>
    <w:rsid w:val="001A4AF4"/>
    <w:rsid w:val="001A4C2E"/>
    <w:rsid w:val="001A4C3E"/>
    <w:rsid w:val="001A4D57"/>
    <w:rsid w:val="001A4E04"/>
    <w:rsid w:val="001A5380"/>
    <w:rsid w:val="001A5938"/>
    <w:rsid w:val="001A5F68"/>
    <w:rsid w:val="001A60A8"/>
    <w:rsid w:val="001A6381"/>
    <w:rsid w:val="001A6384"/>
    <w:rsid w:val="001A6734"/>
    <w:rsid w:val="001A6864"/>
    <w:rsid w:val="001A68E4"/>
    <w:rsid w:val="001A6982"/>
    <w:rsid w:val="001A6D8B"/>
    <w:rsid w:val="001A706A"/>
    <w:rsid w:val="001A70EE"/>
    <w:rsid w:val="001A71E2"/>
    <w:rsid w:val="001A798C"/>
    <w:rsid w:val="001B0247"/>
    <w:rsid w:val="001B037F"/>
    <w:rsid w:val="001B03DD"/>
    <w:rsid w:val="001B045A"/>
    <w:rsid w:val="001B06CF"/>
    <w:rsid w:val="001B06D7"/>
    <w:rsid w:val="001B0AE1"/>
    <w:rsid w:val="001B0AE7"/>
    <w:rsid w:val="001B0B75"/>
    <w:rsid w:val="001B0E74"/>
    <w:rsid w:val="001B0F03"/>
    <w:rsid w:val="001B107F"/>
    <w:rsid w:val="001B1166"/>
    <w:rsid w:val="001B11EF"/>
    <w:rsid w:val="001B1EAE"/>
    <w:rsid w:val="001B1F8A"/>
    <w:rsid w:val="001B208F"/>
    <w:rsid w:val="001B2098"/>
    <w:rsid w:val="001B227C"/>
    <w:rsid w:val="001B23A1"/>
    <w:rsid w:val="001B2466"/>
    <w:rsid w:val="001B2492"/>
    <w:rsid w:val="001B2732"/>
    <w:rsid w:val="001B292E"/>
    <w:rsid w:val="001B2BAB"/>
    <w:rsid w:val="001B2D24"/>
    <w:rsid w:val="001B30BA"/>
    <w:rsid w:val="001B34A6"/>
    <w:rsid w:val="001B35AA"/>
    <w:rsid w:val="001B38C4"/>
    <w:rsid w:val="001B3A21"/>
    <w:rsid w:val="001B3FF4"/>
    <w:rsid w:val="001B4083"/>
    <w:rsid w:val="001B44B3"/>
    <w:rsid w:val="001B45CC"/>
    <w:rsid w:val="001B46BD"/>
    <w:rsid w:val="001B4AE4"/>
    <w:rsid w:val="001B4B17"/>
    <w:rsid w:val="001B5357"/>
    <w:rsid w:val="001B55A6"/>
    <w:rsid w:val="001B60DE"/>
    <w:rsid w:val="001B63E0"/>
    <w:rsid w:val="001B6493"/>
    <w:rsid w:val="001B6500"/>
    <w:rsid w:val="001B65EC"/>
    <w:rsid w:val="001B667C"/>
    <w:rsid w:val="001B6A23"/>
    <w:rsid w:val="001B6F9D"/>
    <w:rsid w:val="001B7033"/>
    <w:rsid w:val="001B7519"/>
    <w:rsid w:val="001B7646"/>
    <w:rsid w:val="001B7AA9"/>
    <w:rsid w:val="001B7B75"/>
    <w:rsid w:val="001B7CA0"/>
    <w:rsid w:val="001B7D9B"/>
    <w:rsid w:val="001B7E78"/>
    <w:rsid w:val="001B7EEA"/>
    <w:rsid w:val="001C0E4B"/>
    <w:rsid w:val="001C10EA"/>
    <w:rsid w:val="001C1151"/>
    <w:rsid w:val="001C1228"/>
    <w:rsid w:val="001C21B5"/>
    <w:rsid w:val="001C21C9"/>
    <w:rsid w:val="001C264D"/>
    <w:rsid w:val="001C26CD"/>
    <w:rsid w:val="001C2893"/>
    <w:rsid w:val="001C3582"/>
    <w:rsid w:val="001C35C6"/>
    <w:rsid w:val="001C3850"/>
    <w:rsid w:val="001C38D0"/>
    <w:rsid w:val="001C3BD3"/>
    <w:rsid w:val="001C447A"/>
    <w:rsid w:val="001C47C5"/>
    <w:rsid w:val="001C4DDA"/>
    <w:rsid w:val="001C525A"/>
    <w:rsid w:val="001C552D"/>
    <w:rsid w:val="001C5778"/>
    <w:rsid w:val="001C5786"/>
    <w:rsid w:val="001C581F"/>
    <w:rsid w:val="001C595F"/>
    <w:rsid w:val="001C5A6B"/>
    <w:rsid w:val="001C5F45"/>
    <w:rsid w:val="001C5F5B"/>
    <w:rsid w:val="001C6010"/>
    <w:rsid w:val="001C6405"/>
    <w:rsid w:val="001C683E"/>
    <w:rsid w:val="001C7299"/>
    <w:rsid w:val="001C73C1"/>
    <w:rsid w:val="001C7626"/>
    <w:rsid w:val="001C7D0B"/>
    <w:rsid w:val="001C7E91"/>
    <w:rsid w:val="001D034C"/>
    <w:rsid w:val="001D039F"/>
    <w:rsid w:val="001D0CA4"/>
    <w:rsid w:val="001D0CE9"/>
    <w:rsid w:val="001D0FC2"/>
    <w:rsid w:val="001D101B"/>
    <w:rsid w:val="001D10CB"/>
    <w:rsid w:val="001D1104"/>
    <w:rsid w:val="001D11C6"/>
    <w:rsid w:val="001D1387"/>
    <w:rsid w:val="001D1391"/>
    <w:rsid w:val="001D14D0"/>
    <w:rsid w:val="001D1528"/>
    <w:rsid w:val="001D17FE"/>
    <w:rsid w:val="001D1806"/>
    <w:rsid w:val="001D1D98"/>
    <w:rsid w:val="001D226D"/>
    <w:rsid w:val="001D2434"/>
    <w:rsid w:val="001D27CD"/>
    <w:rsid w:val="001D2812"/>
    <w:rsid w:val="001D2C3D"/>
    <w:rsid w:val="001D2DBF"/>
    <w:rsid w:val="001D2F43"/>
    <w:rsid w:val="001D32FE"/>
    <w:rsid w:val="001D3616"/>
    <w:rsid w:val="001D3716"/>
    <w:rsid w:val="001D3915"/>
    <w:rsid w:val="001D39F2"/>
    <w:rsid w:val="001D3D61"/>
    <w:rsid w:val="001D3EDB"/>
    <w:rsid w:val="001D4529"/>
    <w:rsid w:val="001D4632"/>
    <w:rsid w:val="001D46BD"/>
    <w:rsid w:val="001D4F5F"/>
    <w:rsid w:val="001D4F78"/>
    <w:rsid w:val="001D5743"/>
    <w:rsid w:val="001D5769"/>
    <w:rsid w:val="001D57C2"/>
    <w:rsid w:val="001D589E"/>
    <w:rsid w:val="001D5ABF"/>
    <w:rsid w:val="001D5B33"/>
    <w:rsid w:val="001D5D99"/>
    <w:rsid w:val="001D5ECD"/>
    <w:rsid w:val="001D5F8B"/>
    <w:rsid w:val="001D60A0"/>
    <w:rsid w:val="001D632F"/>
    <w:rsid w:val="001D6A1E"/>
    <w:rsid w:val="001D6B65"/>
    <w:rsid w:val="001D6C16"/>
    <w:rsid w:val="001D6CAA"/>
    <w:rsid w:val="001D6D26"/>
    <w:rsid w:val="001D7275"/>
    <w:rsid w:val="001D741B"/>
    <w:rsid w:val="001D7B80"/>
    <w:rsid w:val="001D7D60"/>
    <w:rsid w:val="001D7DB3"/>
    <w:rsid w:val="001E00E4"/>
    <w:rsid w:val="001E012D"/>
    <w:rsid w:val="001E0209"/>
    <w:rsid w:val="001E0455"/>
    <w:rsid w:val="001E0691"/>
    <w:rsid w:val="001E07AE"/>
    <w:rsid w:val="001E0DC4"/>
    <w:rsid w:val="001E1545"/>
    <w:rsid w:val="001E1E47"/>
    <w:rsid w:val="001E220C"/>
    <w:rsid w:val="001E2B80"/>
    <w:rsid w:val="001E2C8D"/>
    <w:rsid w:val="001E2FF1"/>
    <w:rsid w:val="001E37C3"/>
    <w:rsid w:val="001E3AD3"/>
    <w:rsid w:val="001E4091"/>
    <w:rsid w:val="001E486A"/>
    <w:rsid w:val="001E4899"/>
    <w:rsid w:val="001E48FE"/>
    <w:rsid w:val="001E4E16"/>
    <w:rsid w:val="001E5363"/>
    <w:rsid w:val="001E541D"/>
    <w:rsid w:val="001E5492"/>
    <w:rsid w:val="001E5493"/>
    <w:rsid w:val="001E5CF4"/>
    <w:rsid w:val="001E6188"/>
    <w:rsid w:val="001E618C"/>
    <w:rsid w:val="001E62DD"/>
    <w:rsid w:val="001E633A"/>
    <w:rsid w:val="001E6423"/>
    <w:rsid w:val="001E68FE"/>
    <w:rsid w:val="001E69AB"/>
    <w:rsid w:val="001E6A32"/>
    <w:rsid w:val="001E6B07"/>
    <w:rsid w:val="001E7090"/>
    <w:rsid w:val="001E7847"/>
    <w:rsid w:val="001E7C50"/>
    <w:rsid w:val="001F0988"/>
    <w:rsid w:val="001F09B6"/>
    <w:rsid w:val="001F0B75"/>
    <w:rsid w:val="001F0BC2"/>
    <w:rsid w:val="001F0D0B"/>
    <w:rsid w:val="001F0F33"/>
    <w:rsid w:val="001F0F7D"/>
    <w:rsid w:val="001F1291"/>
    <w:rsid w:val="001F15B4"/>
    <w:rsid w:val="001F15C3"/>
    <w:rsid w:val="001F15CA"/>
    <w:rsid w:val="001F1A11"/>
    <w:rsid w:val="001F1BE6"/>
    <w:rsid w:val="001F1C28"/>
    <w:rsid w:val="001F265B"/>
    <w:rsid w:val="001F273C"/>
    <w:rsid w:val="001F2893"/>
    <w:rsid w:val="001F2BA0"/>
    <w:rsid w:val="001F2C40"/>
    <w:rsid w:val="001F2CA8"/>
    <w:rsid w:val="001F2FAE"/>
    <w:rsid w:val="001F3170"/>
    <w:rsid w:val="001F3267"/>
    <w:rsid w:val="001F3699"/>
    <w:rsid w:val="001F36B4"/>
    <w:rsid w:val="001F3E38"/>
    <w:rsid w:val="001F3F04"/>
    <w:rsid w:val="001F4042"/>
    <w:rsid w:val="001F4470"/>
    <w:rsid w:val="001F44F5"/>
    <w:rsid w:val="001F4944"/>
    <w:rsid w:val="001F4978"/>
    <w:rsid w:val="001F498E"/>
    <w:rsid w:val="001F4A2C"/>
    <w:rsid w:val="001F50D5"/>
    <w:rsid w:val="001F51AD"/>
    <w:rsid w:val="001F5281"/>
    <w:rsid w:val="001F564E"/>
    <w:rsid w:val="001F5D16"/>
    <w:rsid w:val="001F6354"/>
    <w:rsid w:val="001F6578"/>
    <w:rsid w:val="001F68ED"/>
    <w:rsid w:val="001F7342"/>
    <w:rsid w:val="001F7456"/>
    <w:rsid w:val="001F7664"/>
    <w:rsid w:val="001F766E"/>
    <w:rsid w:val="001F76C6"/>
    <w:rsid w:val="001F7A9A"/>
    <w:rsid w:val="002002EE"/>
    <w:rsid w:val="0020050D"/>
    <w:rsid w:val="00200719"/>
    <w:rsid w:val="0020092B"/>
    <w:rsid w:val="002009BB"/>
    <w:rsid w:val="00200A5E"/>
    <w:rsid w:val="00200DCF"/>
    <w:rsid w:val="00200DE7"/>
    <w:rsid w:val="00200E12"/>
    <w:rsid w:val="002011D9"/>
    <w:rsid w:val="002012FD"/>
    <w:rsid w:val="002014D9"/>
    <w:rsid w:val="00201631"/>
    <w:rsid w:val="00201816"/>
    <w:rsid w:val="00201A7A"/>
    <w:rsid w:val="00201C39"/>
    <w:rsid w:val="00201D1F"/>
    <w:rsid w:val="00202789"/>
    <w:rsid w:val="0020323E"/>
    <w:rsid w:val="0020327E"/>
    <w:rsid w:val="00203E79"/>
    <w:rsid w:val="00203E7A"/>
    <w:rsid w:val="002040DE"/>
    <w:rsid w:val="002048C4"/>
    <w:rsid w:val="002048E8"/>
    <w:rsid w:val="00204A62"/>
    <w:rsid w:val="00204AE4"/>
    <w:rsid w:val="00204B1E"/>
    <w:rsid w:val="00204C2C"/>
    <w:rsid w:val="00204CC9"/>
    <w:rsid w:val="00204E05"/>
    <w:rsid w:val="00205147"/>
    <w:rsid w:val="0020522D"/>
    <w:rsid w:val="002054F3"/>
    <w:rsid w:val="0020576E"/>
    <w:rsid w:val="00205862"/>
    <w:rsid w:val="00205AC0"/>
    <w:rsid w:val="00205DA4"/>
    <w:rsid w:val="00205E79"/>
    <w:rsid w:val="00206319"/>
    <w:rsid w:val="002065FB"/>
    <w:rsid w:val="00206600"/>
    <w:rsid w:val="00206AEF"/>
    <w:rsid w:val="00206D58"/>
    <w:rsid w:val="00207162"/>
    <w:rsid w:val="00207339"/>
    <w:rsid w:val="00207C22"/>
    <w:rsid w:val="00210707"/>
    <w:rsid w:val="00210DD8"/>
    <w:rsid w:val="00210E6B"/>
    <w:rsid w:val="00210EC3"/>
    <w:rsid w:val="002111A4"/>
    <w:rsid w:val="002111F6"/>
    <w:rsid w:val="002111FD"/>
    <w:rsid w:val="00211453"/>
    <w:rsid w:val="002114C1"/>
    <w:rsid w:val="0021168C"/>
    <w:rsid w:val="00212178"/>
    <w:rsid w:val="002122F6"/>
    <w:rsid w:val="002122F9"/>
    <w:rsid w:val="002123E9"/>
    <w:rsid w:val="00212495"/>
    <w:rsid w:val="00212541"/>
    <w:rsid w:val="0021276F"/>
    <w:rsid w:val="00212983"/>
    <w:rsid w:val="00212F72"/>
    <w:rsid w:val="00213154"/>
    <w:rsid w:val="002132AF"/>
    <w:rsid w:val="0021398B"/>
    <w:rsid w:val="002139A4"/>
    <w:rsid w:val="00213C54"/>
    <w:rsid w:val="0021404F"/>
    <w:rsid w:val="0021408E"/>
    <w:rsid w:val="002142E5"/>
    <w:rsid w:val="002143B6"/>
    <w:rsid w:val="0021464A"/>
    <w:rsid w:val="002148C4"/>
    <w:rsid w:val="002150D2"/>
    <w:rsid w:val="002155DF"/>
    <w:rsid w:val="002156EB"/>
    <w:rsid w:val="002157A7"/>
    <w:rsid w:val="00215945"/>
    <w:rsid w:val="002159C5"/>
    <w:rsid w:val="002159DF"/>
    <w:rsid w:val="00215A24"/>
    <w:rsid w:val="0021600D"/>
    <w:rsid w:val="00216430"/>
    <w:rsid w:val="0021643E"/>
    <w:rsid w:val="00216532"/>
    <w:rsid w:val="00216E06"/>
    <w:rsid w:val="002172BF"/>
    <w:rsid w:val="00217431"/>
    <w:rsid w:val="002176D7"/>
    <w:rsid w:val="00217872"/>
    <w:rsid w:val="00217B7F"/>
    <w:rsid w:val="00217C65"/>
    <w:rsid w:val="00217D8B"/>
    <w:rsid w:val="00217DF8"/>
    <w:rsid w:val="002204A8"/>
    <w:rsid w:val="002209D8"/>
    <w:rsid w:val="00220A05"/>
    <w:rsid w:val="00220B81"/>
    <w:rsid w:val="00220C56"/>
    <w:rsid w:val="00220C85"/>
    <w:rsid w:val="00220DD1"/>
    <w:rsid w:val="00220EC5"/>
    <w:rsid w:val="002210DF"/>
    <w:rsid w:val="002213FF"/>
    <w:rsid w:val="002216E4"/>
    <w:rsid w:val="00221B31"/>
    <w:rsid w:val="00221DDB"/>
    <w:rsid w:val="00221F0F"/>
    <w:rsid w:val="0022210C"/>
    <w:rsid w:val="002221AC"/>
    <w:rsid w:val="0022235C"/>
    <w:rsid w:val="00222409"/>
    <w:rsid w:val="00222902"/>
    <w:rsid w:val="00222AAC"/>
    <w:rsid w:val="00222BF8"/>
    <w:rsid w:val="002237D3"/>
    <w:rsid w:val="002239EE"/>
    <w:rsid w:val="00223D0B"/>
    <w:rsid w:val="00224052"/>
    <w:rsid w:val="002241C9"/>
    <w:rsid w:val="00224788"/>
    <w:rsid w:val="00224789"/>
    <w:rsid w:val="002247AB"/>
    <w:rsid w:val="0022481B"/>
    <w:rsid w:val="002248D9"/>
    <w:rsid w:val="00224AA7"/>
    <w:rsid w:val="00224BD3"/>
    <w:rsid w:val="00225286"/>
    <w:rsid w:val="00225322"/>
    <w:rsid w:val="002253C6"/>
    <w:rsid w:val="00225660"/>
    <w:rsid w:val="00225983"/>
    <w:rsid w:val="00225A6A"/>
    <w:rsid w:val="00225B8A"/>
    <w:rsid w:val="00225CC3"/>
    <w:rsid w:val="00225E76"/>
    <w:rsid w:val="00225ED1"/>
    <w:rsid w:val="00226542"/>
    <w:rsid w:val="002265CD"/>
    <w:rsid w:val="00226601"/>
    <w:rsid w:val="00226BA3"/>
    <w:rsid w:val="00226CAA"/>
    <w:rsid w:val="00226D88"/>
    <w:rsid w:val="00227A32"/>
    <w:rsid w:val="00227BD0"/>
    <w:rsid w:val="00227EB0"/>
    <w:rsid w:val="00227F34"/>
    <w:rsid w:val="0023012E"/>
    <w:rsid w:val="00230197"/>
    <w:rsid w:val="00230985"/>
    <w:rsid w:val="002309C0"/>
    <w:rsid w:val="00230A02"/>
    <w:rsid w:val="00231182"/>
    <w:rsid w:val="00231248"/>
    <w:rsid w:val="00231C4B"/>
    <w:rsid w:val="002327E3"/>
    <w:rsid w:val="002328F6"/>
    <w:rsid w:val="00232CE6"/>
    <w:rsid w:val="002330CD"/>
    <w:rsid w:val="00233231"/>
    <w:rsid w:val="0023374B"/>
    <w:rsid w:val="002339B9"/>
    <w:rsid w:val="00233BF5"/>
    <w:rsid w:val="00233F8E"/>
    <w:rsid w:val="00234066"/>
    <w:rsid w:val="00234413"/>
    <w:rsid w:val="002347A9"/>
    <w:rsid w:val="00234921"/>
    <w:rsid w:val="00234B02"/>
    <w:rsid w:val="00234EDE"/>
    <w:rsid w:val="00234FAB"/>
    <w:rsid w:val="0023501C"/>
    <w:rsid w:val="00235097"/>
    <w:rsid w:val="00235797"/>
    <w:rsid w:val="002358DD"/>
    <w:rsid w:val="00235E04"/>
    <w:rsid w:val="00235E8E"/>
    <w:rsid w:val="00236165"/>
    <w:rsid w:val="00236650"/>
    <w:rsid w:val="002366E9"/>
    <w:rsid w:val="0023676D"/>
    <w:rsid w:val="00236AA2"/>
    <w:rsid w:val="00236FE2"/>
    <w:rsid w:val="0023704D"/>
    <w:rsid w:val="002377FE"/>
    <w:rsid w:val="0023782A"/>
    <w:rsid w:val="00237C19"/>
    <w:rsid w:val="00237C4D"/>
    <w:rsid w:val="00237CD2"/>
    <w:rsid w:val="00237F16"/>
    <w:rsid w:val="0024046C"/>
    <w:rsid w:val="002405FC"/>
    <w:rsid w:val="0024061E"/>
    <w:rsid w:val="002406B5"/>
    <w:rsid w:val="002406CC"/>
    <w:rsid w:val="002408FC"/>
    <w:rsid w:val="00240D83"/>
    <w:rsid w:val="00240F10"/>
    <w:rsid w:val="00241207"/>
    <w:rsid w:val="0024156D"/>
    <w:rsid w:val="00241A34"/>
    <w:rsid w:val="00241D2C"/>
    <w:rsid w:val="00242072"/>
    <w:rsid w:val="00242109"/>
    <w:rsid w:val="0024268D"/>
    <w:rsid w:val="002429CF"/>
    <w:rsid w:val="00242A50"/>
    <w:rsid w:val="00242A8E"/>
    <w:rsid w:val="00242E91"/>
    <w:rsid w:val="002434AA"/>
    <w:rsid w:val="00243542"/>
    <w:rsid w:val="0024370F"/>
    <w:rsid w:val="00243BB4"/>
    <w:rsid w:val="00243E52"/>
    <w:rsid w:val="00244582"/>
    <w:rsid w:val="00244D46"/>
    <w:rsid w:val="00244E93"/>
    <w:rsid w:val="00245070"/>
    <w:rsid w:val="002453F3"/>
    <w:rsid w:val="002454F1"/>
    <w:rsid w:val="00246134"/>
    <w:rsid w:val="00246150"/>
    <w:rsid w:val="002461B6"/>
    <w:rsid w:val="0024636F"/>
    <w:rsid w:val="00246398"/>
    <w:rsid w:val="00246C7B"/>
    <w:rsid w:val="00246E9A"/>
    <w:rsid w:val="00246ED2"/>
    <w:rsid w:val="0024731E"/>
    <w:rsid w:val="002475F7"/>
    <w:rsid w:val="0024797F"/>
    <w:rsid w:val="00247A11"/>
    <w:rsid w:val="00247A69"/>
    <w:rsid w:val="00247A74"/>
    <w:rsid w:val="00247CC5"/>
    <w:rsid w:val="00247DDB"/>
    <w:rsid w:val="00251217"/>
    <w:rsid w:val="00251529"/>
    <w:rsid w:val="00251652"/>
    <w:rsid w:val="00251683"/>
    <w:rsid w:val="00251778"/>
    <w:rsid w:val="00251CED"/>
    <w:rsid w:val="00251D7F"/>
    <w:rsid w:val="00251DD7"/>
    <w:rsid w:val="00252262"/>
    <w:rsid w:val="002523F4"/>
    <w:rsid w:val="002525CF"/>
    <w:rsid w:val="0025284F"/>
    <w:rsid w:val="00252A1E"/>
    <w:rsid w:val="00252C03"/>
    <w:rsid w:val="00252DAB"/>
    <w:rsid w:val="00252F87"/>
    <w:rsid w:val="00253251"/>
    <w:rsid w:val="002535D2"/>
    <w:rsid w:val="00253899"/>
    <w:rsid w:val="00253AC4"/>
    <w:rsid w:val="00253AFD"/>
    <w:rsid w:val="00253D07"/>
    <w:rsid w:val="00253FA9"/>
    <w:rsid w:val="002541A2"/>
    <w:rsid w:val="00254264"/>
    <w:rsid w:val="002544A3"/>
    <w:rsid w:val="00254771"/>
    <w:rsid w:val="002547C8"/>
    <w:rsid w:val="00254BE6"/>
    <w:rsid w:val="00254D1D"/>
    <w:rsid w:val="00255914"/>
    <w:rsid w:val="002559E7"/>
    <w:rsid w:val="00255C01"/>
    <w:rsid w:val="0025603B"/>
    <w:rsid w:val="00256427"/>
    <w:rsid w:val="002567F9"/>
    <w:rsid w:val="002569EB"/>
    <w:rsid w:val="00256BF4"/>
    <w:rsid w:val="00256C10"/>
    <w:rsid w:val="002576A6"/>
    <w:rsid w:val="0025791E"/>
    <w:rsid w:val="00257BAF"/>
    <w:rsid w:val="002603F0"/>
    <w:rsid w:val="00260B84"/>
    <w:rsid w:val="00260FD6"/>
    <w:rsid w:val="0026131F"/>
    <w:rsid w:val="0026139A"/>
    <w:rsid w:val="00261BE6"/>
    <w:rsid w:val="002621FC"/>
    <w:rsid w:val="00262329"/>
    <w:rsid w:val="002626D0"/>
    <w:rsid w:val="002628B7"/>
    <w:rsid w:val="00262BAF"/>
    <w:rsid w:val="00262D79"/>
    <w:rsid w:val="00262DDF"/>
    <w:rsid w:val="00262F51"/>
    <w:rsid w:val="00262FCD"/>
    <w:rsid w:val="002630F6"/>
    <w:rsid w:val="0026352F"/>
    <w:rsid w:val="00263640"/>
    <w:rsid w:val="00263664"/>
    <w:rsid w:val="00263695"/>
    <w:rsid w:val="0026393C"/>
    <w:rsid w:val="00263944"/>
    <w:rsid w:val="00263AD7"/>
    <w:rsid w:val="00263EFC"/>
    <w:rsid w:val="002640DB"/>
    <w:rsid w:val="00264163"/>
    <w:rsid w:val="00264222"/>
    <w:rsid w:val="00264332"/>
    <w:rsid w:val="00264438"/>
    <w:rsid w:val="002644DC"/>
    <w:rsid w:val="00264DD6"/>
    <w:rsid w:val="002654B8"/>
    <w:rsid w:val="002654D0"/>
    <w:rsid w:val="00265741"/>
    <w:rsid w:val="00265812"/>
    <w:rsid w:val="00265986"/>
    <w:rsid w:val="0026599E"/>
    <w:rsid w:val="00265A72"/>
    <w:rsid w:val="00265B0D"/>
    <w:rsid w:val="00265C4D"/>
    <w:rsid w:val="00265CAD"/>
    <w:rsid w:val="0026605E"/>
    <w:rsid w:val="00266458"/>
    <w:rsid w:val="002665E8"/>
    <w:rsid w:val="002668EC"/>
    <w:rsid w:val="00266B72"/>
    <w:rsid w:val="00266D56"/>
    <w:rsid w:val="00267653"/>
    <w:rsid w:val="00267AE5"/>
    <w:rsid w:val="00267CD0"/>
    <w:rsid w:val="00267D2A"/>
    <w:rsid w:val="00267D38"/>
    <w:rsid w:val="00267E34"/>
    <w:rsid w:val="00267EC2"/>
    <w:rsid w:val="0027007D"/>
    <w:rsid w:val="00270353"/>
    <w:rsid w:val="00270AC0"/>
    <w:rsid w:val="00270B75"/>
    <w:rsid w:val="00270D10"/>
    <w:rsid w:val="00271002"/>
    <w:rsid w:val="002713AB"/>
    <w:rsid w:val="002713DF"/>
    <w:rsid w:val="0027140F"/>
    <w:rsid w:val="0027181F"/>
    <w:rsid w:val="002719A7"/>
    <w:rsid w:val="00271DD1"/>
    <w:rsid w:val="00271ED9"/>
    <w:rsid w:val="00272562"/>
    <w:rsid w:val="002730E7"/>
    <w:rsid w:val="00273201"/>
    <w:rsid w:val="0027330F"/>
    <w:rsid w:val="00273437"/>
    <w:rsid w:val="002735D9"/>
    <w:rsid w:val="00273B03"/>
    <w:rsid w:val="00273E20"/>
    <w:rsid w:val="00273EAE"/>
    <w:rsid w:val="002745FE"/>
    <w:rsid w:val="00274793"/>
    <w:rsid w:val="00274C97"/>
    <w:rsid w:val="00274EA1"/>
    <w:rsid w:val="00275862"/>
    <w:rsid w:val="00275BC5"/>
    <w:rsid w:val="0027630E"/>
    <w:rsid w:val="002763E3"/>
    <w:rsid w:val="00276B2E"/>
    <w:rsid w:val="00276D63"/>
    <w:rsid w:val="0027718A"/>
    <w:rsid w:val="0027796C"/>
    <w:rsid w:val="00277B45"/>
    <w:rsid w:val="00277D13"/>
    <w:rsid w:val="00277FAE"/>
    <w:rsid w:val="00277FCB"/>
    <w:rsid w:val="00280734"/>
    <w:rsid w:val="00280817"/>
    <w:rsid w:val="00281055"/>
    <w:rsid w:val="00281379"/>
    <w:rsid w:val="00281466"/>
    <w:rsid w:val="00281604"/>
    <w:rsid w:val="00281807"/>
    <w:rsid w:val="00282186"/>
    <w:rsid w:val="00282493"/>
    <w:rsid w:val="00282686"/>
    <w:rsid w:val="00282DB7"/>
    <w:rsid w:val="00282E33"/>
    <w:rsid w:val="00282FCF"/>
    <w:rsid w:val="00283018"/>
    <w:rsid w:val="002835FE"/>
    <w:rsid w:val="002836AF"/>
    <w:rsid w:val="002837C5"/>
    <w:rsid w:val="00283B44"/>
    <w:rsid w:val="00283D57"/>
    <w:rsid w:val="002843F4"/>
    <w:rsid w:val="00284554"/>
    <w:rsid w:val="00284567"/>
    <w:rsid w:val="0028473D"/>
    <w:rsid w:val="002848A7"/>
    <w:rsid w:val="00284970"/>
    <w:rsid w:val="00284A3E"/>
    <w:rsid w:val="00285164"/>
    <w:rsid w:val="002851BB"/>
    <w:rsid w:val="002854D5"/>
    <w:rsid w:val="00285796"/>
    <w:rsid w:val="00285B17"/>
    <w:rsid w:val="00285C1F"/>
    <w:rsid w:val="00285C8F"/>
    <w:rsid w:val="00285D14"/>
    <w:rsid w:val="00285E6D"/>
    <w:rsid w:val="002861CA"/>
    <w:rsid w:val="002862E6"/>
    <w:rsid w:val="0028679C"/>
    <w:rsid w:val="00286866"/>
    <w:rsid w:val="00286E17"/>
    <w:rsid w:val="00286E6A"/>
    <w:rsid w:val="00286F50"/>
    <w:rsid w:val="00286F60"/>
    <w:rsid w:val="0028741E"/>
    <w:rsid w:val="00287867"/>
    <w:rsid w:val="00287DC6"/>
    <w:rsid w:val="00287DE8"/>
    <w:rsid w:val="00290094"/>
    <w:rsid w:val="002901DC"/>
    <w:rsid w:val="0029036C"/>
    <w:rsid w:val="00290A61"/>
    <w:rsid w:val="00290B50"/>
    <w:rsid w:val="00290DE3"/>
    <w:rsid w:val="00290F12"/>
    <w:rsid w:val="00290F9D"/>
    <w:rsid w:val="00290FA1"/>
    <w:rsid w:val="00290FB3"/>
    <w:rsid w:val="002913B5"/>
    <w:rsid w:val="0029145F"/>
    <w:rsid w:val="00291702"/>
    <w:rsid w:val="00291705"/>
    <w:rsid w:val="00291706"/>
    <w:rsid w:val="002918C8"/>
    <w:rsid w:val="00291914"/>
    <w:rsid w:val="002919A3"/>
    <w:rsid w:val="00291A7C"/>
    <w:rsid w:val="00291C61"/>
    <w:rsid w:val="00291D2F"/>
    <w:rsid w:val="002921C5"/>
    <w:rsid w:val="002923A0"/>
    <w:rsid w:val="002924AC"/>
    <w:rsid w:val="002926EA"/>
    <w:rsid w:val="00292723"/>
    <w:rsid w:val="00292910"/>
    <w:rsid w:val="00292C9D"/>
    <w:rsid w:val="00292E18"/>
    <w:rsid w:val="00292FD4"/>
    <w:rsid w:val="002930D9"/>
    <w:rsid w:val="0029372E"/>
    <w:rsid w:val="0029391B"/>
    <w:rsid w:val="00293B73"/>
    <w:rsid w:val="002940E9"/>
    <w:rsid w:val="00294159"/>
    <w:rsid w:val="002941A9"/>
    <w:rsid w:val="002945C8"/>
    <w:rsid w:val="00294AC9"/>
    <w:rsid w:val="00294B8F"/>
    <w:rsid w:val="00294EEB"/>
    <w:rsid w:val="00294F4E"/>
    <w:rsid w:val="0029527F"/>
    <w:rsid w:val="002953DC"/>
    <w:rsid w:val="00295479"/>
    <w:rsid w:val="0029579E"/>
    <w:rsid w:val="00295C87"/>
    <w:rsid w:val="00296265"/>
    <w:rsid w:val="00296386"/>
    <w:rsid w:val="00296B53"/>
    <w:rsid w:val="00296B65"/>
    <w:rsid w:val="00296B73"/>
    <w:rsid w:val="0029719A"/>
    <w:rsid w:val="002972B5"/>
    <w:rsid w:val="0029755C"/>
    <w:rsid w:val="00297777"/>
    <w:rsid w:val="00297B01"/>
    <w:rsid w:val="00297D73"/>
    <w:rsid w:val="00297E73"/>
    <w:rsid w:val="002A01BF"/>
    <w:rsid w:val="002A030C"/>
    <w:rsid w:val="002A038E"/>
    <w:rsid w:val="002A097A"/>
    <w:rsid w:val="002A0C0E"/>
    <w:rsid w:val="002A0DC9"/>
    <w:rsid w:val="002A0EFE"/>
    <w:rsid w:val="002A1028"/>
    <w:rsid w:val="002A12B2"/>
    <w:rsid w:val="002A138F"/>
    <w:rsid w:val="002A1733"/>
    <w:rsid w:val="002A1C33"/>
    <w:rsid w:val="002A1E84"/>
    <w:rsid w:val="002A2713"/>
    <w:rsid w:val="002A28FA"/>
    <w:rsid w:val="002A29D6"/>
    <w:rsid w:val="002A2ADB"/>
    <w:rsid w:val="002A2B4A"/>
    <w:rsid w:val="002A2E5D"/>
    <w:rsid w:val="002A311F"/>
    <w:rsid w:val="002A32AB"/>
    <w:rsid w:val="002A3366"/>
    <w:rsid w:val="002A370E"/>
    <w:rsid w:val="002A3768"/>
    <w:rsid w:val="002A3B29"/>
    <w:rsid w:val="002A3BC8"/>
    <w:rsid w:val="002A4316"/>
    <w:rsid w:val="002A4E5A"/>
    <w:rsid w:val="002A50A8"/>
    <w:rsid w:val="002A5132"/>
    <w:rsid w:val="002A5188"/>
    <w:rsid w:val="002A526E"/>
    <w:rsid w:val="002A5326"/>
    <w:rsid w:val="002A5392"/>
    <w:rsid w:val="002A5B25"/>
    <w:rsid w:val="002A5BA9"/>
    <w:rsid w:val="002A5DC6"/>
    <w:rsid w:val="002A672F"/>
    <w:rsid w:val="002A6748"/>
    <w:rsid w:val="002A6C09"/>
    <w:rsid w:val="002A6DB7"/>
    <w:rsid w:val="002A7538"/>
    <w:rsid w:val="002A76C7"/>
    <w:rsid w:val="002A7950"/>
    <w:rsid w:val="002B0730"/>
    <w:rsid w:val="002B087A"/>
    <w:rsid w:val="002B0C16"/>
    <w:rsid w:val="002B0DF6"/>
    <w:rsid w:val="002B13D6"/>
    <w:rsid w:val="002B1542"/>
    <w:rsid w:val="002B1FB4"/>
    <w:rsid w:val="002B20D9"/>
    <w:rsid w:val="002B20F0"/>
    <w:rsid w:val="002B215B"/>
    <w:rsid w:val="002B21B0"/>
    <w:rsid w:val="002B2536"/>
    <w:rsid w:val="002B25B2"/>
    <w:rsid w:val="002B27E8"/>
    <w:rsid w:val="002B28A8"/>
    <w:rsid w:val="002B2991"/>
    <w:rsid w:val="002B2C1C"/>
    <w:rsid w:val="002B32E2"/>
    <w:rsid w:val="002B3CA4"/>
    <w:rsid w:val="002B3CCA"/>
    <w:rsid w:val="002B3D00"/>
    <w:rsid w:val="002B3E45"/>
    <w:rsid w:val="002B3EA1"/>
    <w:rsid w:val="002B3F17"/>
    <w:rsid w:val="002B4488"/>
    <w:rsid w:val="002B45EC"/>
    <w:rsid w:val="002B47C2"/>
    <w:rsid w:val="002B4CF6"/>
    <w:rsid w:val="002B4DB1"/>
    <w:rsid w:val="002B50BA"/>
    <w:rsid w:val="002B51A8"/>
    <w:rsid w:val="002B54E7"/>
    <w:rsid w:val="002B54F9"/>
    <w:rsid w:val="002B5659"/>
    <w:rsid w:val="002B56A6"/>
    <w:rsid w:val="002B5752"/>
    <w:rsid w:val="002B5AF8"/>
    <w:rsid w:val="002B5D4D"/>
    <w:rsid w:val="002B5D73"/>
    <w:rsid w:val="002B5F6D"/>
    <w:rsid w:val="002B6307"/>
    <w:rsid w:val="002B6559"/>
    <w:rsid w:val="002B6595"/>
    <w:rsid w:val="002B6609"/>
    <w:rsid w:val="002B67B0"/>
    <w:rsid w:val="002B6920"/>
    <w:rsid w:val="002B6932"/>
    <w:rsid w:val="002B6A97"/>
    <w:rsid w:val="002B6DF1"/>
    <w:rsid w:val="002B6EF0"/>
    <w:rsid w:val="002B7846"/>
    <w:rsid w:val="002B7868"/>
    <w:rsid w:val="002B78EB"/>
    <w:rsid w:val="002C0096"/>
    <w:rsid w:val="002C00EF"/>
    <w:rsid w:val="002C01F1"/>
    <w:rsid w:val="002C023B"/>
    <w:rsid w:val="002C07D4"/>
    <w:rsid w:val="002C0C60"/>
    <w:rsid w:val="002C12D3"/>
    <w:rsid w:val="002C152C"/>
    <w:rsid w:val="002C16D3"/>
    <w:rsid w:val="002C18A3"/>
    <w:rsid w:val="002C1ADF"/>
    <w:rsid w:val="002C1BDC"/>
    <w:rsid w:val="002C1C29"/>
    <w:rsid w:val="002C1CE5"/>
    <w:rsid w:val="002C1D05"/>
    <w:rsid w:val="002C1E50"/>
    <w:rsid w:val="002C1F7B"/>
    <w:rsid w:val="002C2098"/>
    <w:rsid w:val="002C248A"/>
    <w:rsid w:val="002C2609"/>
    <w:rsid w:val="002C26A1"/>
    <w:rsid w:val="002C272F"/>
    <w:rsid w:val="002C2971"/>
    <w:rsid w:val="002C2A74"/>
    <w:rsid w:val="002C2EAC"/>
    <w:rsid w:val="002C3548"/>
    <w:rsid w:val="002C3583"/>
    <w:rsid w:val="002C35FA"/>
    <w:rsid w:val="002C3658"/>
    <w:rsid w:val="002C36A9"/>
    <w:rsid w:val="002C3C25"/>
    <w:rsid w:val="002C3D06"/>
    <w:rsid w:val="002C3FF5"/>
    <w:rsid w:val="002C41BF"/>
    <w:rsid w:val="002C44D2"/>
    <w:rsid w:val="002C4589"/>
    <w:rsid w:val="002C45A9"/>
    <w:rsid w:val="002C4623"/>
    <w:rsid w:val="002C46E6"/>
    <w:rsid w:val="002C492D"/>
    <w:rsid w:val="002C4AD1"/>
    <w:rsid w:val="002C4E83"/>
    <w:rsid w:val="002C5397"/>
    <w:rsid w:val="002C55AB"/>
    <w:rsid w:val="002C564F"/>
    <w:rsid w:val="002C58D7"/>
    <w:rsid w:val="002C5FC1"/>
    <w:rsid w:val="002C60B7"/>
    <w:rsid w:val="002C6162"/>
    <w:rsid w:val="002C61AF"/>
    <w:rsid w:val="002C638B"/>
    <w:rsid w:val="002C648D"/>
    <w:rsid w:val="002C64A8"/>
    <w:rsid w:val="002C652A"/>
    <w:rsid w:val="002C65C0"/>
    <w:rsid w:val="002C684F"/>
    <w:rsid w:val="002C6C94"/>
    <w:rsid w:val="002C6FFE"/>
    <w:rsid w:val="002C74D8"/>
    <w:rsid w:val="002C755E"/>
    <w:rsid w:val="002C7AC9"/>
    <w:rsid w:val="002C7C27"/>
    <w:rsid w:val="002C7DD0"/>
    <w:rsid w:val="002C7E60"/>
    <w:rsid w:val="002C7F3C"/>
    <w:rsid w:val="002D0457"/>
    <w:rsid w:val="002D061C"/>
    <w:rsid w:val="002D0CFE"/>
    <w:rsid w:val="002D0F34"/>
    <w:rsid w:val="002D1346"/>
    <w:rsid w:val="002D1423"/>
    <w:rsid w:val="002D16F7"/>
    <w:rsid w:val="002D18CF"/>
    <w:rsid w:val="002D1C07"/>
    <w:rsid w:val="002D1D13"/>
    <w:rsid w:val="002D1FB0"/>
    <w:rsid w:val="002D233F"/>
    <w:rsid w:val="002D2644"/>
    <w:rsid w:val="002D2A05"/>
    <w:rsid w:val="002D2ED8"/>
    <w:rsid w:val="002D2F2F"/>
    <w:rsid w:val="002D3231"/>
    <w:rsid w:val="002D3694"/>
    <w:rsid w:val="002D38A5"/>
    <w:rsid w:val="002D3978"/>
    <w:rsid w:val="002D3B97"/>
    <w:rsid w:val="002D3E16"/>
    <w:rsid w:val="002D400C"/>
    <w:rsid w:val="002D47C7"/>
    <w:rsid w:val="002D49B0"/>
    <w:rsid w:val="002D4ADC"/>
    <w:rsid w:val="002D4E2D"/>
    <w:rsid w:val="002D50D9"/>
    <w:rsid w:val="002D54E1"/>
    <w:rsid w:val="002D54F4"/>
    <w:rsid w:val="002D55A6"/>
    <w:rsid w:val="002D55D0"/>
    <w:rsid w:val="002D55DE"/>
    <w:rsid w:val="002D5690"/>
    <w:rsid w:val="002D5825"/>
    <w:rsid w:val="002D5AD3"/>
    <w:rsid w:val="002D5AEE"/>
    <w:rsid w:val="002D5BFC"/>
    <w:rsid w:val="002D5C2E"/>
    <w:rsid w:val="002D5FDD"/>
    <w:rsid w:val="002D5FEC"/>
    <w:rsid w:val="002D60B8"/>
    <w:rsid w:val="002D6143"/>
    <w:rsid w:val="002D678C"/>
    <w:rsid w:val="002D6F50"/>
    <w:rsid w:val="002D708C"/>
    <w:rsid w:val="002D7610"/>
    <w:rsid w:val="002D7CB7"/>
    <w:rsid w:val="002D7F21"/>
    <w:rsid w:val="002D7F9B"/>
    <w:rsid w:val="002E0007"/>
    <w:rsid w:val="002E0738"/>
    <w:rsid w:val="002E0F2F"/>
    <w:rsid w:val="002E17C7"/>
    <w:rsid w:val="002E1869"/>
    <w:rsid w:val="002E1B9C"/>
    <w:rsid w:val="002E1DC3"/>
    <w:rsid w:val="002E1F70"/>
    <w:rsid w:val="002E20BA"/>
    <w:rsid w:val="002E2169"/>
    <w:rsid w:val="002E21EC"/>
    <w:rsid w:val="002E2256"/>
    <w:rsid w:val="002E281B"/>
    <w:rsid w:val="002E2FBE"/>
    <w:rsid w:val="002E308D"/>
    <w:rsid w:val="002E30C5"/>
    <w:rsid w:val="002E31BB"/>
    <w:rsid w:val="002E3344"/>
    <w:rsid w:val="002E33E1"/>
    <w:rsid w:val="002E346C"/>
    <w:rsid w:val="002E3780"/>
    <w:rsid w:val="002E393E"/>
    <w:rsid w:val="002E3983"/>
    <w:rsid w:val="002E39DF"/>
    <w:rsid w:val="002E3D90"/>
    <w:rsid w:val="002E3EAD"/>
    <w:rsid w:val="002E405F"/>
    <w:rsid w:val="002E415A"/>
    <w:rsid w:val="002E41B4"/>
    <w:rsid w:val="002E4442"/>
    <w:rsid w:val="002E44FE"/>
    <w:rsid w:val="002E4557"/>
    <w:rsid w:val="002E49DB"/>
    <w:rsid w:val="002E49DD"/>
    <w:rsid w:val="002E4B36"/>
    <w:rsid w:val="002E5142"/>
    <w:rsid w:val="002E519E"/>
    <w:rsid w:val="002E5609"/>
    <w:rsid w:val="002E5746"/>
    <w:rsid w:val="002E5EAA"/>
    <w:rsid w:val="002E6093"/>
    <w:rsid w:val="002E627E"/>
    <w:rsid w:val="002E6364"/>
    <w:rsid w:val="002E69A2"/>
    <w:rsid w:val="002E6E59"/>
    <w:rsid w:val="002E6EE9"/>
    <w:rsid w:val="002E7205"/>
    <w:rsid w:val="002E7613"/>
    <w:rsid w:val="002E7746"/>
    <w:rsid w:val="002E7D43"/>
    <w:rsid w:val="002F0339"/>
    <w:rsid w:val="002F0397"/>
    <w:rsid w:val="002F049F"/>
    <w:rsid w:val="002F0786"/>
    <w:rsid w:val="002F0B47"/>
    <w:rsid w:val="002F0C2E"/>
    <w:rsid w:val="002F0D9B"/>
    <w:rsid w:val="002F135D"/>
    <w:rsid w:val="002F1592"/>
    <w:rsid w:val="002F17B9"/>
    <w:rsid w:val="002F17C9"/>
    <w:rsid w:val="002F18F8"/>
    <w:rsid w:val="002F1B88"/>
    <w:rsid w:val="002F1BDD"/>
    <w:rsid w:val="002F1E3F"/>
    <w:rsid w:val="002F2071"/>
    <w:rsid w:val="002F252B"/>
    <w:rsid w:val="002F2564"/>
    <w:rsid w:val="002F2789"/>
    <w:rsid w:val="002F293F"/>
    <w:rsid w:val="002F2BCC"/>
    <w:rsid w:val="002F3189"/>
    <w:rsid w:val="002F3781"/>
    <w:rsid w:val="002F39F9"/>
    <w:rsid w:val="002F3DBE"/>
    <w:rsid w:val="002F3E0C"/>
    <w:rsid w:val="002F42B9"/>
    <w:rsid w:val="002F43BD"/>
    <w:rsid w:val="002F445E"/>
    <w:rsid w:val="002F44CF"/>
    <w:rsid w:val="002F4B12"/>
    <w:rsid w:val="002F507D"/>
    <w:rsid w:val="002F5932"/>
    <w:rsid w:val="002F5BE2"/>
    <w:rsid w:val="002F5D97"/>
    <w:rsid w:val="002F5E1C"/>
    <w:rsid w:val="002F5EF1"/>
    <w:rsid w:val="002F606F"/>
    <w:rsid w:val="002F6591"/>
    <w:rsid w:val="002F6D41"/>
    <w:rsid w:val="002F7176"/>
    <w:rsid w:val="002F7274"/>
    <w:rsid w:val="002F72DF"/>
    <w:rsid w:val="002F7335"/>
    <w:rsid w:val="002F7D7E"/>
    <w:rsid w:val="002F7D7F"/>
    <w:rsid w:val="002F7F9A"/>
    <w:rsid w:val="00300810"/>
    <w:rsid w:val="0030083E"/>
    <w:rsid w:val="00300C5B"/>
    <w:rsid w:val="00300D0A"/>
    <w:rsid w:val="00300F31"/>
    <w:rsid w:val="00301396"/>
    <w:rsid w:val="0030140D"/>
    <w:rsid w:val="00301504"/>
    <w:rsid w:val="00301687"/>
    <w:rsid w:val="003016AC"/>
    <w:rsid w:val="00301CB5"/>
    <w:rsid w:val="00301F0A"/>
    <w:rsid w:val="0030211C"/>
    <w:rsid w:val="003024F6"/>
    <w:rsid w:val="0030277C"/>
    <w:rsid w:val="003028D3"/>
    <w:rsid w:val="00302940"/>
    <w:rsid w:val="00302D2D"/>
    <w:rsid w:val="00302D43"/>
    <w:rsid w:val="00302F4E"/>
    <w:rsid w:val="00302F7E"/>
    <w:rsid w:val="00303423"/>
    <w:rsid w:val="00303AD2"/>
    <w:rsid w:val="00303BAE"/>
    <w:rsid w:val="00303C7A"/>
    <w:rsid w:val="00303CD6"/>
    <w:rsid w:val="00303E97"/>
    <w:rsid w:val="00303FC4"/>
    <w:rsid w:val="00304007"/>
    <w:rsid w:val="003042EA"/>
    <w:rsid w:val="0030433A"/>
    <w:rsid w:val="003046B2"/>
    <w:rsid w:val="003048ED"/>
    <w:rsid w:val="00304907"/>
    <w:rsid w:val="00304BF7"/>
    <w:rsid w:val="00304EEE"/>
    <w:rsid w:val="00304F31"/>
    <w:rsid w:val="00304F8E"/>
    <w:rsid w:val="003051AC"/>
    <w:rsid w:val="0030537C"/>
    <w:rsid w:val="00305443"/>
    <w:rsid w:val="00305B7A"/>
    <w:rsid w:val="003063AC"/>
    <w:rsid w:val="003065DD"/>
    <w:rsid w:val="0030682F"/>
    <w:rsid w:val="00306846"/>
    <w:rsid w:val="0030699B"/>
    <w:rsid w:val="00306A85"/>
    <w:rsid w:val="00306A96"/>
    <w:rsid w:val="00306C37"/>
    <w:rsid w:val="00306DF7"/>
    <w:rsid w:val="00306F8E"/>
    <w:rsid w:val="003075D4"/>
    <w:rsid w:val="0030791F"/>
    <w:rsid w:val="00307FB5"/>
    <w:rsid w:val="0031011C"/>
    <w:rsid w:val="0031026B"/>
    <w:rsid w:val="003106D4"/>
    <w:rsid w:val="0031081B"/>
    <w:rsid w:val="00310AE3"/>
    <w:rsid w:val="00311351"/>
    <w:rsid w:val="0031136A"/>
    <w:rsid w:val="003115E2"/>
    <w:rsid w:val="00311815"/>
    <w:rsid w:val="00311C61"/>
    <w:rsid w:val="00311E5A"/>
    <w:rsid w:val="00311EE5"/>
    <w:rsid w:val="00312215"/>
    <w:rsid w:val="0031229A"/>
    <w:rsid w:val="003122B3"/>
    <w:rsid w:val="0031254F"/>
    <w:rsid w:val="003125A4"/>
    <w:rsid w:val="00312703"/>
    <w:rsid w:val="00312E56"/>
    <w:rsid w:val="00312F5B"/>
    <w:rsid w:val="00312F6E"/>
    <w:rsid w:val="00312FF8"/>
    <w:rsid w:val="0031311A"/>
    <w:rsid w:val="003131CC"/>
    <w:rsid w:val="00313296"/>
    <w:rsid w:val="00313304"/>
    <w:rsid w:val="0031361E"/>
    <w:rsid w:val="0031366D"/>
    <w:rsid w:val="003139AE"/>
    <w:rsid w:val="00313DFA"/>
    <w:rsid w:val="00314027"/>
    <w:rsid w:val="00314601"/>
    <w:rsid w:val="003146B9"/>
    <w:rsid w:val="00314A4C"/>
    <w:rsid w:val="00314BF9"/>
    <w:rsid w:val="00314D33"/>
    <w:rsid w:val="00314E2A"/>
    <w:rsid w:val="003150CC"/>
    <w:rsid w:val="00315254"/>
    <w:rsid w:val="0031548D"/>
    <w:rsid w:val="00315941"/>
    <w:rsid w:val="00316053"/>
    <w:rsid w:val="003162F9"/>
    <w:rsid w:val="0031645F"/>
    <w:rsid w:val="0031659D"/>
    <w:rsid w:val="00316841"/>
    <w:rsid w:val="0031684E"/>
    <w:rsid w:val="00316A2A"/>
    <w:rsid w:val="00316A31"/>
    <w:rsid w:val="00316E99"/>
    <w:rsid w:val="003174DA"/>
    <w:rsid w:val="003174FF"/>
    <w:rsid w:val="003178FA"/>
    <w:rsid w:val="003179B8"/>
    <w:rsid w:val="00317A7A"/>
    <w:rsid w:val="00317CD0"/>
    <w:rsid w:val="00317CE9"/>
    <w:rsid w:val="00317DCB"/>
    <w:rsid w:val="00317E35"/>
    <w:rsid w:val="0032008A"/>
    <w:rsid w:val="00320106"/>
    <w:rsid w:val="003201A4"/>
    <w:rsid w:val="003201B4"/>
    <w:rsid w:val="00320459"/>
    <w:rsid w:val="00320481"/>
    <w:rsid w:val="00320529"/>
    <w:rsid w:val="00320647"/>
    <w:rsid w:val="00320B7F"/>
    <w:rsid w:val="00320C1D"/>
    <w:rsid w:val="00320F15"/>
    <w:rsid w:val="00320F80"/>
    <w:rsid w:val="00321179"/>
    <w:rsid w:val="0032123A"/>
    <w:rsid w:val="00321825"/>
    <w:rsid w:val="00321886"/>
    <w:rsid w:val="00321919"/>
    <w:rsid w:val="00321F1D"/>
    <w:rsid w:val="003222DB"/>
    <w:rsid w:val="003224F7"/>
    <w:rsid w:val="0032257A"/>
    <w:rsid w:val="0032284D"/>
    <w:rsid w:val="00322C70"/>
    <w:rsid w:val="0032315A"/>
    <w:rsid w:val="003235DA"/>
    <w:rsid w:val="003237D3"/>
    <w:rsid w:val="00323B1F"/>
    <w:rsid w:val="00323C16"/>
    <w:rsid w:val="00323D98"/>
    <w:rsid w:val="003242E9"/>
    <w:rsid w:val="00324502"/>
    <w:rsid w:val="003249B5"/>
    <w:rsid w:val="00324B75"/>
    <w:rsid w:val="00324D35"/>
    <w:rsid w:val="00324ED2"/>
    <w:rsid w:val="00324F09"/>
    <w:rsid w:val="00325091"/>
    <w:rsid w:val="003252F0"/>
    <w:rsid w:val="00325418"/>
    <w:rsid w:val="00325798"/>
    <w:rsid w:val="003257CE"/>
    <w:rsid w:val="0032590D"/>
    <w:rsid w:val="0032598D"/>
    <w:rsid w:val="003259FC"/>
    <w:rsid w:val="00325C39"/>
    <w:rsid w:val="00326249"/>
    <w:rsid w:val="0032651D"/>
    <w:rsid w:val="003268B4"/>
    <w:rsid w:val="00326977"/>
    <w:rsid w:val="00326BCF"/>
    <w:rsid w:val="00326BD0"/>
    <w:rsid w:val="00326F11"/>
    <w:rsid w:val="00326FA3"/>
    <w:rsid w:val="00327238"/>
    <w:rsid w:val="00327625"/>
    <w:rsid w:val="00327CEB"/>
    <w:rsid w:val="00327D98"/>
    <w:rsid w:val="0033024B"/>
    <w:rsid w:val="00330655"/>
    <w:rsid w:val="00330A2A"/>
    <w:rsid w:val="00330DC6"/>
    <w:rsid w:val="00330E99"/>
    <w:rsid w:val="0033148C"/>
    <w:rsid w:val="00331D0D"/>
    <w:rsid w:val="00331D2C"/>
    <w:rsid w:val="003320D9"/>
    <w:rsid w:val="003325E4"/>
    <w:rsid w:val="00332623"/>
    <w:rsid w:val="00332866"/>
    <w:rsid w:val="00332EF0"/>
    <w:rsid w:val="003339B1"/>
    <w:rsid w:val="003347B8"/>
    <w:rsid w:val="00335167"/>
    <w:rsid w:val="0033527A"/>
    <w:rsid w:val="003356C8"/>
    <w:rsid w:val="00335748"/>
    <w:rsid w:val="0033583E"/>
    <w:rsid w:val="0033585E"/>
    <w:rsid w:val="003359E6"/>
    <w:rsid w:val="00335B9B"/>
    <w:rsid w:val="00335C1F"/>
    <w:rsid w:val="00335C54"/>
    <w:rsid w:val="0033604E"/>
    <w:rsid w:val="0033615E"/>
    <w:rsid w:val="0033616B"/>
    <w:rsid w:val="0033661D"/>
    <w:rsid w:val="0033673F"/>
    <w:rsid w:val="00336C42"/>
    <w:rsid w:val="00337CCF"/>
    <w:rsid w:val="00337FE7"/>
    <w:rsid w:val="0034006B"/>
    <w:rsid w:val="00340427"/>
    <w:rsid w:val="003408FE"/>
    <w:rsid w:val="00340993"/>
    <w:rsid w:val="00340D14"/>
    <w:rsid w:val="00340D59"/>
    <w:rsid w:val="00341028"/>
    <w:rsid w:val="0034144F"/>
    <w:rsid w:val="0034185A"/>
    <w:rsid w:val="00341908"/>
    <w:rsid w:val="00341CF6"/>
    <w:rsid w:val="00341CF7"/>
    <w:rsid w:val="0034285B"/>
    <w:rsid w:val="00342C98"/>
    <w:rsid w:val="00343020"/>
    <w:rsid w:val="003431DC"/>
    <w:rsid w:val="0034357B"/>
    <w:rsid w:val="00343600"/>
    <w:rsid w:val="0034401D"/>
    <w:rsid w:val="003440C1"/>
    <w:rsid w:val="003440EC"/>
    <w:rsid w:val="0034411F"/>
    <w:rsid w:val="00344252"/>
    <w:rsid w:val="003446D1"/>
    <w:rsid w:val="0034483D"/>
    <w:rsid w:val="00344AC1"/>
    <w:rsid w:val="00344B60"/>
    <w:rsid w:val="00344E26"/>
    <w:rsid w:val="00344EF4"/>
    <w:rsid w:val="00345415"/>
    <w:rsid w:val="00345570"/>
    <w:rsid w:val="00345654"/>
    <w:rsid w:val="0034588F"/>
    <w:rsid w:val="00345913"/>
    <w:rsid w:val="00345968"/>
    <w:rsid w:val="00345C8C"/>
    <w:rsid w:val="00346001"/>
    <w:rsid w:val="003463EC"/>
    <w:rsid w:val="003464EA"/>
    <w:rsid w:val="003466BB"/>
    <w:rsid w:val="003467CC"/>
    <w:rsid w:val="00347141"/>
    <w:rsid w:val="00347179"/>
    <w:rsid w:val="00347653"/>
    <w:rsid w:val="00347968"/>
    <w:rsid w:val="00347A4F"/>
    <w:rsid w:val="00347B2A"/>
    <w:rsid w:val="00347F69"/>
    <w:rsid w:val="00350008"/>
    <w:rsid w:val="0035003A"/>
    <w:rsid w:val="00350184"/>
    <w:rsid w:val="003502F2"/>
    <w:rsid w:val="003503E0"/>
    <w:rsid w:val="00350679"/>
    <w:rsid w:val="003506CA"/>
    <w:rsid w:val="0035083C"/>
    <w:rsid w:val="003508A2"/>
    <w:rsid w:val="003509DA"/>
    <w:rsid w:val="003512AD"/>
    <w:rsid w:val="003517C1"/>
    <w:rsid w:val="00351B5D"/>
    <w:rsid w:val="003520B0"/>
    <w:rsid w:val="00352712"/>
    <w:rsid w:val="003528AD"/>
    <w:rsid w:val="00352B5F"/>
    <w:rsid w:val="00352B69"/>
    <w:rsid w:val="00352B94"/>
    <w:rsid w:val="00352E6B"/>
    <w:rsid w:val="00353012"/>
    <w:rsid w:val="00353BC8"/>
    <w:rsid w:val="00353C8C"/>
    <w:rsid w:val="00353DC9"/>
    <w:rsid w:val="00353F15"/>
    <w:rsid w:val="00353F56"/>
    <w:rsid w:val="00353F8F"/>
    <w:rsid w:val="00354D69"/>
    <w:rsid w:val="0035515A"/>
    <w:rsid w:val="0035542A"/>
    <w:rsid w:val="003554EC"/>
    <w:rsid w:val="00355604"/>
    <w:rsid w:val="0035578E"/>
    <w:rsid w:val="00355C14"/>
    <w:rsid w:val="00355C5B"/>
    <w:rsid w:val="00355CCB"/>
    <w:rsid w:val="00355F4F"/>
    <w:rsid w:val="0035602B"/>
    <w:rsid w:val="0035648C"/>
    <w:rsid w:val="003565B6"/>
    <w:rsid w:val="003566DB"/>
    <w:rsid w:val="00356EE8"/>
    <w:rsid w:val="00356F40"/>
    <w:rsid w:val="00357419"/>
    <w:rsid w:val="003579C9"/>
    <w:rsid w:val="00357B40"/>
    <w:rsid w:val="00357E32"/>
    <w:rsid w:val="00360454"/>
    <w:rsid w:val="00360471"/>
    <w:rsid w:val="003605C1"/>
    <w:rsid w:val="003606E7"/>
    <w:rsid w:val="00360827"/>
    <w:rsid w:val="00360A6E"/>
    <w:rsid w:val="003611AB"/>
    <w:rsid w:val="0036145A"/>
    <w:rsid w:val="00361608"/>
    <w:rsid w:val="003616FE"/>
    <w:rsid w:val="0036190B"/>
    <w:rsid w:val="00361AC0"/>
    <w:rsid w:val="00361B65"/>
    <w:rsid w:val="00361F2C"/>
    <w:rsid w:val="00361F66"/>
    <w:rsid w:val="003621A6"/>
    <w:rsid w:val="003623E4"/>
    <w:rsid w:val="0036255C"/>
    <w:rsid w:val="00362630"/>
    <w:rsid w:val="003627F1"/>
    <w:rsid w:val="00362B0F"/>
    <w:rsid w:val="00362DE1"/>
    <w:rsid w:val="0036318B"/>
    <w:rsid w:val="003631BB"/>
    <w:rsid w:val="003633C3"/>
    <w:rsid w:val="0036366C"/>
    <w:rsid w:val="00363C08"/>
    <w:rsid w:val="00363CAD"/>
    <w:rsid w:val="00363D84"/>
    <w:rsid w:val="00364352"/>
    <w:rsid w:val="00364357"/>
    <w:rsid w:val="003646DA"/>
    <w:rsid w:val="0036498D"/>
    <w:rsid w:val="00364BBF"/>
    <w:rsid w:val="00364F28"/>
    <w:rsid w:val="003653B3"/>
    <w:rsid w:val="00365583"/>
    <w:rsid w:val="003659B3"/>
    <w:rsid w:val="00365A43"/>
    <w:rsid w:val="00365BD0"/>
    <w:rsid w:val="00365D37"/>
    <w:rsid w:val="00365DA4"/>
    <w:rsid w:val="00366083"/>
    <w:rsid w:val="0036632E"/>
    <w:rsid w:val="00366C85"/>
    <w:rsid w:val="00366F0C"/>
    <w:rsid w:val="00366F3F"/>
    <w:rsid w:val="00367097"/>
    <w:rsid w:val="0036712C"/>
    <w:rsid w:val="00367219"/>
    <w:rsid w:val="003700F6"/>
    <w:rsid w:val="003705DF"/>
    <w:rsid w:val="0037061A"/>
    <w:rsid w:val="003706F4"/>
    <w:rsid w:val="00370874"/>
    <w:rsid w:val="00370977"/>
    <w:rsid w:val="00370AF8"/>
    <w:rsid w:val="00370BE3"/>
    <w:rsid w:val="00370F0A"/>
    <w:rsid w:val="003711A0"/>
    <w:rsid w:val="003715F4"/>
    <w:rsid w:val="0037163F"/>
    <w:rsid w:val="00371899"/>
    <w:rsid w:val="00371D3C"/>
    <w:rsid w:val="00371DF2"/>
    <w:rsid w:val="00371E0F"/>
    <w:rsid w:val="00371F9E"/>
    <w:rsid w:val="00371FBC"/>
    <w:rsid w:val="00372043"/>
    <w:rsid w:val="0037255D"/>
    <w:rsid w:val="00372D85"/>
    <w:rsid w:val="00372EA4"/>
    <w:rsid w:val="00372F13"/>
    <w:rsid w:val="0037307C"/>
    <w:rsid w:val="00373140"/>
    <w:rsid w:val="00373500"/>
    <w:rsid w:val="0037360A"/>
    <w:rsid w:val="00373721"/>
    <w:rsid w:val="00373946"/>
    <w:rsid w:val="00374102"/>
    <w:rsid w:val="003743D5"/>
    <w:rsid w:val="00374814"/>
    <w:rsid w:val="00374C03"/>
    <w:rsid w:val="00374C24"/>
    <w:rsid w:val="00374CC5"/>
    <w:rsid w:val="00374D31"/>
    <w:rsid w:val="00374DF2"/>
    <w:rsid w:val="0037507E"/>
    <w:rsid w:val="0037513B"/>
    <w:rsid w:val="0037568B"/>
    <w:rsid w:val="003759CC"/>
    <w:rsid w:val="0037617D"/>
    <w:rsid w:val="00376426"/>
    <w:rsid w:val="00376D4F"/>
    <w:rsid w:val="003770C1"/>
    <w:rsid w:val="0037744C"/>
    <w:rsid w:val="00377512"/>
    <w:rsid w:val="0037796B"/>
    <w:rsid w:val="00377BAE"/>
    <w:rsid w:val="00380136"/>
    <w:rsid w:val="00380221"/>
    <w:rsid w:val="003803CF"/>
    <w:rsid w:val="00380546"/>
    <w:rsid w:val="00380855"/>
    <w:rsid w:val="0038085E"/>
    <w:rsid w:val="00380D79"/>
    <w:rsid w:val="00380DDD"/>
    <w:rsid w:val="003811B4"/>
    <w:rsid w:val="00381476"/>
    <w:rsid w:val="00381687"/>
    <w:rsid w:val="00381873"/>
    <w:rsid w:val="00381AB0"/>
    <w:rsid w:val="00381DEE"/>
    <w:rsid w:val="00382564"/>
    <w:rsid w:val="0038256F"/>
    <w:rsid w:val="003825D2"/>
    <w:rsid w:val="00382818"/>
    <w:rsid w:val="00382B1C"/>
    <w:rsid w:val="00382B53"/>
    <w:rsid w:val="00382C79"/>
    <w:rsid w:val="00382F9A"/>
    <w:rsid w:val="00383429"/>
    <w:rsid w:val="0038368E"/>
    <w:rsid w:val="0038399C"/>
    <w:rsid w:val="00383A9D"/>
    <w:rsid w:val="00383F33"/>
    <w:rsid w:val="003842BE"/>
    <w:rsid w:val="00384807"/>
    <w:rsid w:val="00384DE1"/>
    <w:rsid w:val="00384F8F"/>
    <w:rsid w:val="003850D0"/>
    <w:rsid w:val="0038514F"/>
    <w:rsid w:val="003854D9"/>
    <w:rsid w:val="003858B8"/>
    <w:rsid w:val="00385986"/>
    <w:rsid w:val="0038599D"/>
    <w:rsid w:val="003859B6"/>
    <w:rsid w:val="00385AE1"/>
    <w:rsid w:val="00385FDD"/>
    <w:rsid w:val="00386260"/>
    <w:rsid w:val="00386503"/>
    <w:rsid w:val="003866DA"/>
    <w:rsid w:val="0038694D"/>
    <w:rsid w:val="00386CED"/>
    <w:rsid w:val="00387265"/>
    <w:rsid w:val="00387628"/>
    <w:rsid w:val="00387885"/>
    <w:rsid w:val="003879F2"/>
    <w:rsid w:val="00387E8B"/>
    <w:rsid w:val="00390470"/>
    <w:rsid w:val="003904B5"/>
    <w:rsid w:val="00390527"/>
    <w:rsid w:val="00390BCC"/>
    <w:rsid w:val="00390BD6"/>
    <w:rsid w:val="003911A7"/>
    <w:rsid w:val="0039142B"/>
    <w:rsid w:val="003914CC"/>
    <w:rsid w:val="00391A85"/>
    <w:rsid w:val="00391E97"/>
    <w:rsid w:val="00391EEA"/>
    <w:rsid w:val="00391F02"/>
    <w:rsid w:val="00392108"/>
    <w:rsid w:val="0039216E"/>
    <w:rsid w:val="00392239"/>
    <w:rsid w:val="003922F9"/>
    <w:rsid w:val="003923D1"/>
    <w:rsid w:val="00392658"/>
    <w:rsid w:val="0039296D"/>
    <w:rsid w:val="0039299F"/>
    <w:rsid w:val="00392ED1"/>
    <w:rsid w:val="0039304D"/>
    <w:rsid w:val="00393C03"/>
    <w:rsid w:val="00393F22"/>
    <w:rsid w:val="003942D6"/>
    <w:rsid w:val="00394474"/>
    <w:rsid w:val="00394496"/>
    <w:rsid w:val="00394681"/>
    <w:rsid w:val="00394696"/>
    <w:rsid w:val="00394C29"/>
    <w:rsid w:val="00394F13"/>
    <w:rsid w:val="00394F1C"/>
    <w:rsid w:val="00394F88"/>
    <w:rsid w:val="00394FBD"/>
    <w:rsid w:val="003951C5"/>
    <w:rsid w:val="003952A1"/>
    <w:rsid w:val="00395382"/>
    <w:rsid w:val="0039560A"/>
    <w:rsid w:val="00395B11"/>
    <w:rsid w:val="00395DBD"/>
    <w:rsid w:val="00395F61"/>
    <w:rsid w:val="00396A23"/>
    <w:rsid w:val="00396B18"/>
    <w:rsid w:val="00396BF6"/>
    <w:rsid w:val="00396E33"/>
    <w:rsid w:val="00396F50"/>
    <w:rsid w:val="003970F7"/>
    <w:rsid w:val="00397267"/>
    <w:rsid w:val="00397337"/>
    <w:rsid w:val="00397722"/>
    <w:rsid w:val="00397DF5"/>
    <w:rsid w:val="00397F59"/>
    <w:rsid w:val="003A0017"/>
    <w:rsid w:val="003A0562"/>
    <w:rsid w:val="003A0599"/>
    <w:rsid w:val="003A0906"/>
    <w:rsid w:val="003A0C0E"/>
    <w:rsid w:val="003A117A"/>
    <w:rsid w:val="003A1F40"/>
    <w:rsid w:val="003A22BF"/>
    <w:rsid w:val="003A25B3"/>
    <w:rsid w:val="003A2687"/>
    <w:rsid w:val="003A2728"/>
    <w:rsid w:val="003A279D"/>
    <w:rsid w:val="003A27C6"/>
    <w:rsid w:val="003A2860"/>
    <w:rsid w:val="003A2A28"/>
    <w:rsid w:val="003A2B78"/>
    <w:rsid w:val="003A2E2F"/>
    <w:rsid w:val="003A31F5"/>
    <w:rsid w:val="003A371E"/>
    <w:rsid w:val="003A3940"/>
    <w:rsid w:val="003A3971"/>
    <w:rsid w:val="003A39D7"/>
    <w:rsid w:val="003A3E17"/>
    <w:rsid w:val="003A47C2"/>
    <w:rsid w:val="003A50C6"/>
    <w:rsid w:val="003A5824"/>
    <w:rsid w:val="003A5AF1"/>
    <w:rsid w:val="003A621B"/>
    <w:rsid w:val="003A65E5"/>
    <w:rsid w:val="003A66E5"/>
    <w:rsid w:val="003A6A2D"/>
    <w:rsid w:val="003A6F73"/>
    <w:rsid w:val="003A761C"/>
    <w:rsid w:val="003A7A59"/>
    <w:rsid w:val="003B06AC"/>
    <w:rsid w:val="003B1A1B"/>
    <w:rsid w:val="003B1C26"/>
    <w:rsid w:val="003B21B9"/>
    <w:rsid w:val="003B21DF"/>
    <w:rsid w:val="003B223F"/>
    <w:rsid w:val="003B22A3"/>
    <w:rsid w:val="003B2BA6"/>
    <w:rsid w:val="003B2BC8"/>
    <w:rsid w:val="003B2DF8"/>
    <w:rsid w:val="003B30A8"/>
    <w:rsid w:val="003B30EE"/>
    <w:rsid w:val="003B3135"/>
    <w:rsid w:val="003B325E"/>
    <w:rsid w:val="003B33A6"/>
    <w:rsid w:val="003B36C1"/>
    <w:rsid w:val="003B3855"/>
    <w:rsid w:val="003B3CE1"/>
    <w:rsid w:val="003B42A7"/>
    <w:rsid w:val="003B432B"/>
    <w:rsid w:val="003B441A"/>
    <w:rsid w:val="003B4806"/>
    <w:rsid w:val="003B4AE9"/>
    <w:rsid w:val="003B4E72"/>
    <w:rsid w:val="003B514D"/>
    <w:rsid w:val="003B5269"/>
    <w:rsid w:val="003B59B0"/>
    <w:rsid w:val="003B5BA7"/>
    <w:rsid w:val="003B5DE0"/>
    <w:rsid w:val="003B5E33"/>
    <w:rsid w:val="003B63AD"/>
    <w:rsid w:val="003B67C4"/>
    <w:rsid w:val="003B6917"/>
    <w:rsid w:val="003B6B49"/>
    <w:rsid w:val="003B6B5F"/>
    <w:rsid w:val="003B7496"/>
    <w:rsid w:val="003B7841"/>
    <w:rsid w:val="003B7A94"/>
    <w:rsid w:val="003B7AD3"/>
    <w:rsid w:val="003B7C91"/>
    <w:rsid w:val="003B7E95"/>
    <w:rsid w:val="003C0640"/>
    <w:rsid w:val="003C095B"/>
    <w:rsid w:val="003C098F"/>
    <w:rsid w:val="003C0B93"/>
    <w:rsid w:val="003C0C95"/>
    <w:rsid w:val="003C0D22"/>
    <w:rsid w:val="003C0D2B"/>
    <w:rsid w:val="003C0F6F"/>
    <w:rsid w:val="003C1847"/>
    <w:rsid w:val="003C1B6E"/>
    <w:rsid w:val="003C1B9A"/>
    <w:rsid w:val="003C2087"/>
    <w:rsid w:val="003C215A"/>
    <w:rsid w:val="003C22B2"/>
    <w:rsid w:val="003C22FF"/>
    <w:rsid w:val="003C2832"/>
    <w:rsid w:val="003C29B0"/>
    <w:rsid w:val="003C2A79"/>
    <w:rsid w:val="003C2BFE"/>
    <w:rsid w:val="003C39BD"/>
    <w:rsid w:val="003C39D6"/>
    <w:rsid w:val="003C40E9"/>
    <w:rsid w:val="003C459F"/>
    <w:rsid w:val="003C462C"/>
    <w:rsid w:val="003C47C2"/>
    <w:rsid w:val="003C48F7"/>
    <w:rsid w:val="003C4991"/>
    <w:rsid w:val="003C4A56"/>
    <w:rsid w:val="003C4E4A"/>
    <w:rsid w:val="003C564C"/>
    <w:rsid w:val="003C5DA0"/>
    <w:rsid w:val="003C6229"/>
    <w:rsid w:val="003C66F3"/>
    <w:rsid w:val="003C6897"/>
    <w:rsid w:val="003C6A4B"/>
    <w:rsid w:val="003C6E69"/>
    <w:rsid w:val="003C7326"/>
    <w:rsid w:val="003C732C"/>
    <w:rsid w:val="003C7369"/>
    <w:rsid w:val="003C7BD4"/>
    <w:rsid w:val="003D05E0"/>
    <w:rsid w:val="003D092C"/>
    <w:rsid w:val="003D0BE1"/>
    <w:rsid w:val="003D0F8D"/>
    <w:rsid w:val="003D1068"/>
    <w:rsid w:val="003D11F0"/>
    <w:rsid w:val="003D1509"/>
    <w:rsid w:val="003D16B5"/>
    <w:rsid w:val="003D17F9"/>
    <w:rsid w:val="003D1E00"/>
    <w:rsid w:val="003D2327"/>
    <w:rsid w:val="003D2684"/>
    <w:rsid w:val="003D2806"/>
    <w:rsid w:val="003D2DC2"/>
    <w:rsid w:val="003D2DEA"/>
    <w:rsid w:val="003D2F1A"/>
    <w:rsid w:val="003D2FF5"/>
    <w:rsid w:val="003D30CE"/>
    <w:rsid w:val="003D320E"/>
    <w:rsid w:val="003D39F5"/>
    <w:rsid w:val="003D3F2A"/>
    <w:rsid w:val="003D3F98"/>
    <w:rsid w:val="003D49C1"/>
    <w:rsid w:val="003D4BAE"/>
    <w:rsid w:val="003D4C75"/>
    <w:rsid w:val="003D4E52"/>
    <w:rsid w:val="003D52FE"/>
    <w:rsid w:val="003D534E"/>
    <w:rsid w:val="003D53AC"/>
    <w:rsid w:val="003D55F0"/>
    <w:rsid w:val="003D56EB"/>
    <w:rsid w:val="003D574D"/>
    <w:rsid w:val="003D5851"/>
    <w:rsid w:val="003D5954"/>
    <w:rsid w:val="003D596F"/>
    <w:rsid w:val="003D5A61"/>
    <w:rsid w:val="003D5B29"/>
    <w:rsid w:val="003D5C1A"/>
    <w:rsid w:val="003D5EC7"/>
    <w:rsid w:val="003D601D"/>
    <w:rsid w:val="003D64E4"/>
    <w:rsid w:val="003D66F1"/>
    <w:rsid w:val="003D69DC"/>
    <w:rsid w:val="003D6A47"/>
    <w:rsid w:val="003D6BF1"/>
    <w:rsid w:val="003D6C96"/>
    <w:rsid w:val="003D7055"/>
    <w:rsid w:val="003D7141"/>
    <w:rsid w:val="003D728E"/>
    <w:rsid w:val="003D73D1"/>
    <w:rsid w:val="003D7404"/>
    <w:rsid w:val="003D7437"/>
    <w:rsid w:val="003D7715"/>
    <w:rsid w:val="003D7AE9"/>
    <w:rsid w:val="003D7CF7"/>
    <w:rsid w:val="003D7F60"/>
    <w:rsid w:val="003D7F6E"/>
    <w:rsid w:val="003D7F73"/>
    <w:rsid w:val="003E0A13"/>
    <w:rsid w:val="003E0B54"/>
    <w:rsid w:val="003E0B94"/>
    <w:rsid w:val="003E0BA5"/>
    <w:rsid w:val="003E0C58"/>
    <w:rsid w:val="003E0E5E"/>
    <w:rsid w:val="003E146B"/>
    <w:rsid w:val="003E1779"/>
    <w:rsid w:val="003E1DBA"/>
    <w:rsid w:val="003E2200"/>
    <w:rsid w:val="003E224A"/>
    <w:rsid w:val="003E2D7A"/>
    <w:rsid w:val="003E2DB1"/>
    <w:rsid w:val="003E326A"/>
    <w:rsid w:val="003E34A5"/>
    <w:rsid w:val="003E3671"/>
    <w:rsid w:val="003E375A"/>
    <w:rsid w:val="003E377B"/>
    <w:rsid w:val="003E3B7F"/>
    <w:rsid w:val="003E3B92"/>
    <w:rsid w:val="003E3C0B"/>
    <w:rsid w:val="003E4636"/>
    <w:rsid w:val="003E4B3A"/>
    <w:rsid w:val="003E4B6D"/>
    <w:rsid w:val="003E4BC6"/>
    <w:rsid w:val="003E4F7E"/>
    <w:rsid w:val="003E50B5"/>
    <w:rsid w:val="003E5229"/>
    <w:rsid w:val="003E5A1B"/>
    <w:rsid w:val="003E5B03"/>
    <w:rsid w:val="003E5BDB"/>
    <w:rsid w:val="003E5BFA"/>
    <w:rsid w:val="003E6166"/>
    <w:rsid w:val="003E64DC"/>
    <w:rsid w:val="003E6832"/>
    <w:rsid w:val="003E6A7B"/>
    <w:rsid w:val="003E6CAF"/>
    <w:rsid w:val="003E6E41"/>
    <w:rsid w:val="003E7083"/>
    <w:rsid w:val="003E70C4"/>
    <w:rsid w:val="003E710B"/>
    <w:rsid w:val="003E71D4"/>
    <w:rsid w:val="003E73AF"/>
    <w:rsid w:val="003E7540"/>
    <w:rsid w:val="003E76F1"/>
    <w:rsid w:val="003E7732"/>
    <w:rsid w:val="003E787B"/>
    <w:rsid w:val="003E7E04"/>
    <w:rsid w:val="003F04A1"/>
    <w:rsid w:val="003F087C"/>
    <w:rsid w:val="003F0899"/>
    <w:rsid w:val="003F0F6D"/>
    <w:rsid w:val="003F147E"/>
    <w:rsid w:val="003F165B"/>
    <w:rsid w:val="003F19FF"/>
    <w:rsid w:val="003F1AC2"/>
    <w:rsid w:val="003F1B47"/>
    <w:rsid w:val="003F1EB4"/>
    <w:rsid w:val="003F29AB"/>
    <w:rsid w:val="003F2B7E"/>
    <w:rsid w:val="003F3105"/>
    <w:rsid w:val="003F315F"/>
    <w:rsid w:val="003F31D4"/>
    <w:rsid w:val="003F37C5"/>
    <w:rsid w:val="003F3A43"/>
    <w:rsid w:val="003F40CD"/>
    <w:rsid w:val="003F4594"/>
    <w:rsid w:val="003F4BC7"/>
    <w:rsid w:val="003F4F01"/>
    <w:rsid w:val="003F55E9"/>
    <w:rsid w:val="003F5900"/>
    <w:rsid w:val="003F5A23"/>
    <w:rsid w:val="003F5EAF"/>
    <w:rsid w:val="003F647E"/>
    <w:rsid w:val="003F65B3"/>
    <w:rsid w:val="003F672A"/>
    <w:rsid w:val="003F6784"/>
    <w:rsid w:val="003F67A2"/>
    <w:rsid w:val="003F67C8"/>
    <w:rsid w:val="003F6AD5"/>
    <w:rsid w:val="003F6E95"/>
    <w:rsid w:val="00400436"/>
    <w:rsid w:val="00400453"/>
    <w:rsid w:val="0040046B"/>
    <w:rsid w:val="00400997"/>
    <w:rsid w:val="00400AE9"/>
    <w:rsid w:val="00401041"/>
    <w:rsid w:val="00401451"/>
    <w:rsid w:val="004015C8"/>
    <w:rsid w:val="00401A0E"/>
    <w:rsid w:val="00401A8B"/>
    <w:rsid w:val="00401B84"/>
    <w:rsid w:val="00401DB3"/>
    <w:rsid w:val="00402075"/>
    <w:rsid w:val="00402146"/>
    <w:rsid w:val="00402510"/>
    <w:rsid w:val="0040265D"/>
    <w:rsid w:val="00402A86"/>
    <w:rsid w:val="00402C8A"/>
    <w:rsid w:val="00402CAE"/>
    <w:rsid w:val="00402CBF"/>
    <w:rsid w:val="00402ECB"/>
    <w:rsid w:val="00403124"/>
    <w:rsid w:val="0040312C"/>
    <w:rsid w:val="004031E9"/>
    <w:rsid w:val="0040332A"/>
    <w:rsid w:val="00403680"/>
    <w:rsid w:val="004036C6"/>
    <w:rsid w:val="00403DE5"/>
    <w:rsid w:val="00403E87"/>
    <w:rsid w:val="00403E92"/>
    <w:rsid w:val="00403F98"/>
    <w:rsid w:val="00404232"/>
    <w:rsid w:val="00404695"/>
    <w:rsid w:val="0040497C"/>
    <w:rsid w:val="0040571A"/>
    <w:rsid w:val="0040571F"/>
    <w:rsid w:val="00405BAE"/>
    <w:rsid w:val="00405F70"/>
    <w:rsid w:val="00406123"/>
    <w:rsid w:val="00406428"/>
    <w:rsid w:val="0040647E"/>
    <w:rsid w:val="004066A6"/>
    <w:rsid w:val="00406D12"/>
    <w:rsid w:val="0040700B"/>
    <w:rsid w:val="004071F6"/>
    <w:rsid w:val="00407688"/>
    <w:rsid w:val="00407F53"/>
    <w:rsid w:val="00410164"/>
    <w:rsid w:val="00410166"/>
    <w:rsid w:val="0041036F"/>
    <w:rsid w:val="004106D7"/>
    <w:rsid w:val="00410712"/>
    <w:rsid w:val="00410E40"/>
    <w:rsid w:val="004111EE"/>
    <w:rsid w:val="004111F2"/>
    <w:rsid w:val="00411550"/>
    <w:rsid w:val="00412178"/>
    <w:rsid w:val="004127AA"/>
    <w:rsid w:val="00412DA0"/>
    <w:rsid w:val="004131EA"/>
    <w:rsid w:val="0041360F"/>
    <w:rsid w:val="004138AD"/>
    <w:rsid w:val="00413AAD"/>
    <w:rsid w:val="004140A9"/>
    <w:rsid w:val="004145A7"/>
    <w:rsid w:val="00414642"/>
    <w:rsid w:val="00414770"/>
    <w:rsid w:val="00414926"/>
    <w:rsid w:val="004149E7"/>
    <w:rsid w:val="00414EBE"/>
    <w:rsid w:val="00415160"/>
    <w:rsid w:val="00415663"/>
    <w:rsid w:val="00415945"/>
    <w:rsid w:val="00415A97"/>
    <w:rsid w:val="00416028"/>
    <w:rsid w:val="004169C1"/>
    <w:rsid w:val="00416CA5"/>
    <w:rsid w:val="00416E9F"/>
    <w:rsid w:val="00417171"/>
    <w:rsid w:val="00417A0E"/>
    <w:rsid w:val="00417EC5"/>
    <w:rsid w:val="00420906"/>
    <w:rsid w:val="00420B6E"/>
    <w:rsid w:val="00420C52"/>
    <w:rsid w:val="00420E44"/>
    <w:rsid w:val="00420F1B"/>
    <w:rsid w:val="00421205"/>
    <w:rsid w:val="004214CE"/>
    <w:rsid w:val="004218C9"/>
    <w:rsid w:val="004219D3"/>
    <w:rsid w:val="00422938"/>
    <w:rsid w:val="00422BB3"/>
    <w:rsid w:val="00422CA8"/>
    <w:rsid w:val="00422E7C"/>
    <w:rsid w:val="004233A1"/>
    <w:rsid w:val="004233E0"/>
    <w:rsid w:val="00423C24"/>
    <w:rsid w:val="00423EAE"/>
    <w:rsid w:val="00423ECE"/>
    <w:rsid w:val="00424391"/>
    <w:rsid w:val="00424641"/>
    <w:rsid w:val="004246C7"/>
    <w:rsid w:val="004247F2"/>
    <w:rsid w:val="00424896"/>
    <w:rsid w:val="004248F4"/>
    <w:rsid w:val="00424A1B"/>
    <w:rsid w:val="0042543E"/>
    <w:rsid w:val="00425723"/>
    <w:rsid w:val="00425A15"/>
    <w:rsid w:val="00425C53"/>
    <w:rsid w:val="00425E59"/>
    <w:rsid w:val="00425E85"/>
    <w:rsid w:val="0042639C"/>
    <w:rsid w:val="00426525"/>
    <w:rsid w:val="00426694"/>
    <w:rsid w:val="004269A3"/>
    <w:rsid w:val="00426CBF"/>
    <w:rsid w:val="00427027"/>
    <w:rsid w:val="0042759D"/>
    <w:rsid w:val="00427D3A"/>
    <w:rsid w:val="004300D4"/>
    <w:rsid w:val="004301D1"/>
    <w:rsid w:val="004301ED"/>
    <w:rsid w:val="00430479"/>
    <w:rsid w:val="00430795"/>
    <w:rsid w:val="004308E6"/>
    <w:rsid w:val="00430902"/>
    <w:rsid w:val="00430940"/>
    <w:rsid w:val="00430B80"/>
    <w:rsid w:val="00430C84"/>
    <w:rsid w:val="00430CDC"/>
    <w:rsid w:val="004311C0"/>
    <w:rsid w:val="004313CA"/>
    <w:rsid w:val="00431888"/>
    <w:rsid w:val="0043188D"/>
    <w:rsid w:val="004319ED"/>
    <w:rsid w:val="00431B32"/>
    <w:rsid w:val="00431F10"/>
    <w:rsid w:val="00431F16"/>
    <w:rsid w:val="004320AF"/>
    <w:rsid w:val="004326CC"/>
    <w:rsid w:val="00432A57"/>
    <w:rsid w:val="00432B40"/>
    <w:rsid w:val="00432F3C"/>
    <w:rsid w:val="00432FDA"/>
    <w:rsid w:val="004333A2"/>
    <w:rsid w:val="004333C9"/>
    <w:rsid w:val="0043367B"/>
    <w:rsid w:val="004337B0"/>
    <w:rsid w:val="004338B1"/>
    <w:rsid w:val="00433D85"/>
    <w:rsid w:val="0043418F"/>
    <w:rsid w:val="004341D5"/>
    <w:rsid w:val="004342B3"/>
    <w:rsid w:val="0043438D"/>
    <w:rsid w:val="00434479"/>
    <w:rsid w:val="004346A1"/>
    <w:rsid w:val="004348BF"/>
    <w:rsid w:val="0043497B"/>
    <w:rsid w:val="00434AAD"/>
    <w:rsid w:val="00434C9D"/>
    <w:rsid w:val="00434DE1"/>
    <w:rsid w:val="004354F7"/>
    <w:rsid w:val="0043587D"/>
    <w:rsid w:val="00435ABB"/>
    <w:rsid w:val="00435B5A"/>
    <w:rsid w:val="00435B6F"/>
    <w:rsid w:val="00435BE1"/>
    <w:rsid w:val="00435E40"/>
    <w:rsid w:val="00436082"/>
    <w:rsid w:val="004365B6"/>
    <w:rsid w:val="004365C3"/>
    <w:rsid w:val="004368BB"/>
    <w:rsid w:val="0043695B"/>
    <w:rsid w:val="00436ACA"/>
    <w:rsid w:val="00436AD5"/>
    <w:rsid w:val="00436B4E"/>
    <w:rsid w:val="00436C51"/>
    <w:rsid w:val="00436CD5"/>
    <w:rsid w:val="00436FC4"/>
    <w:rsid w:val="00436FED"/>
    <w:rsid w:val="00437048"/>
    <w:rsid w:val="00437272"/>
    <w:rsid w:val="004377CF"/>
    <w:rsid w:val="004377E2"/>
    <w:rsid w:val="00437842"/>
    <w:rsid w:val="00437933"/>
    <w:rsid w:val="00437C52"/>
    <w:rsid w:val="00437D3D"/>
    <w:rsid w:val="00437DEC"/>
    <w:rsid w:val="00437F72"/>
    <w:rsid w:val="0043A2E1"/>
    <w:rsid w:val="004405FD"/>
    <w:rsid w:val="00440A3E"/>
    <w:rsid w:val="00440CCF"/>
    <w:rsid w:val="004410AF"/>
    <w:rsid w:val="00441290"/>
    <w:rsid w:val="00441871"/>
    <w:rsid w:val="00441B61"/>
    <w:rsid w:val="00441C1E"/>
    <w:rsid w:val="00441C88"/>
    <w:rsid w:val="00442249"/>
    <w:rsid w:val="00442349"/>
    <w:rsid w:val="00442437"/>
    <w:rsid w:val="0044263F"/>
    <w:rsid w:val="0044295A"/>
    <w:rsid w:val="00442A28"/>
    <w:rsid w:val="00442A3F"/>
    <w:rsid w:val="00442AFC"/>
    <w:rsid w:val="00442E0F"/>
    <w:rsid w:val="00443141"/>
    <w:rsid w:val="004435C0"/>
    <w:rsid w:val="00443768"/>
    <w:rsid w:val="0044380E"/>
    <w:rsid w:val="00443926"/>
    <w:rsid w:val="00443A77"/>
    <w:rsid w:val="00443BA8"/>
    <w:rsid w:val="00443CA3"/>
    <w:rsid w:val="00443F7C"/>
    <w:rsid w:val="00444299"/>
    <w:rsid w:val="0044495C"/>
    <w:rsid w:val="00444B1B"/>
    <w:rsid w:val="00444D6D"/>
    <w:rsid w:val="00445675"/>
    <w:rsid w:val="004456D7"/>
    <w:rsid w:val="00445709"/>
    <w:rsid w:val="004458DF"/>
    <w:rsid w:val="00445D9C"/>
    <w:rsid w:val="00446019"/>
    <w:rsid w:val="00446169"/>
    <w:rsid w:val="00446214"/>
    <w:rsid w:val="004462FB"/>
    <w:rsid w:val="00446BCC"/>
    <w:rsid w:val="00446E30"/>
    <w:rsid w:val="00446E40"/>
    <w:rsid w:val="004472D9"/>
    <w:rsid w:val="004477E9"/>
    <w:rsid w:val="00447AEA"/>
    <w:rsid w:val="00447BD0"/>
    <w:rsid w:val="00447E72"/>
    <w:rsid w:val="00450061"/>
    <w:rsid w:val="0045037E"/>
    <w:rsid w:val="004503F1"/>
    <w:rsid w:val="00450655"/>
    <w:rsid w:val="00450BCE"/>
    <w:rsid w:val="00450C75"/>
    <w:rsid w:val="00450CA8"/>
    <w:rsid w:val="00450D2D"/>
    <w:rsid w:val="00450FB1"/>
    <w:rsid w:val="00451546"/>
    <w:rsid w:val="00451837"/>
    <w:rsid w:val="0045184B"/>
    <w:rsid w:val="00451CBB"/>
    <w:rsid w:val="00451F93"/>
    <w:rsid w:val="00451F96"/>
    <w:rsid w:val="004520A2"/>
    <w:rsid w:val="0045226D"/>
    <w:rsid w:val="004522D4"/>
    <w:rsid w:val="00452772"/>
    <w:rsid w:val="00452B13"/>
    <w:rsid w:val="00452C44"/>
    <w:rsid w:val="00452EF0"/>
    <w:rsid w:val="00452F6E"/>
    <w:rsid w:val="0045320D"/>
    <w:rsid w:val="0045387A"/>
    <w:rsid w:val="004538BF"/>
    <w:rsid w:val="004538E8"/>
    <w:rsid w:val="004538F6"/>
    <w:rsid w:val="0045394D"/>
    <w:rsid w:val="00454225"/>
    <w:rsid w:val="00454267"/>
    <w:rsid w:val="004542D4"/>
    <w:rsid w:val="004546E9"/>
    <w:rsid w:val="00454725"/>
    <w:rsid w:val="0045476B"/>
    <w:rsid w:val="00454DE5"/>
    <w:rsid w:val="00454EC2"/>
    <w:rsid w:val="00455065"/>
    <w:rsid w:val="004551E3"/>
    <w:rsid w:val="004552E8"/>
    <w:rsid w:val="0045558C"/>
    <w:rsid w:val="004555FE"/>
    <w:rsid w:val="004556B3"/>
    <w:rsid w:val="00455C03"/>
    <w:rsid w:val="00455D0A"/>
    <w:rsid w:val="00455EA6"/>
    <w:rsid w:val="00455FB7"/>
    <w:rsid w:val="0045601E"/>
    <w:rsid w:val="004560E0"/>
    <w:rsid w:val="004560F2"/>
    <w:rsid w:val="0045628D"/>
    <w:rsid w:val="00456595"/>
    <w:rsid w:val="004568AB"/>
    <w:rsid w:val="00457237"/>
    <w:rsid w:val="0045770F"/>
    <w:rsid w:val="00457B79"/>
    <w:rsid w:val="00457CAE"/>
    <w:rsid w:val="00460083"/>
    <w:rsid w:val="00460137"/>
    <w:rsid w:val="0046015F"/>
    <w:rsid w:val="00460647"/>
    <w:rsid w:val="00460C4C"/>
    <w:rsid w:val="00460CD1"/>
    <w:rsid w:val="0046100F"/>
    <w:rsid w:val="00461164"/>
    <w:rsid w:val="00461801"/>
    <w:rsid w:val="00461B2E"/>
    <w:rsid w:val="00461BCC"/>
    <w:rsid w:val="00461E12"/>
    <w:rsid w:val="00461E44"/>
    <w:rsid w:val="004621B6"/>
    <w:rsid w:val="0046303A"/>
    <w:rsid w:val="0046315B"/>
    <w:rsid w:val="00463275"/>
    <w:rsid w:val="00463738"/>
    <w:rsid w:val="00463827"/>
    <w:rsid w:val="004638EA"/>
    <w:rsid w:val="0046396D"/>
    <w:rsid w:val="00463B1B"/>
    <w:rsid w:val="00463B5C"/>
    <w:rsid w:val="0046444C"/>
    <w:rsid w:val="004647C1"/>
    <w:rsid w:val="00464A43"/>
    <w:rsid w:val="00464A63"/>
    <w:rsid w:val="00464C7B"/>
    <w:rsid w:val="00464C83"/>
    <w:rsid w:val="00464D36"/>
    <w:rsid w:val="00464DAD"/>
    <w:rsid w:val="00464E7E"/>
    <w:rsid w:val="004650EC"/>
    <w:rsid w:val="0046518E"/>
    <w:rsid w:val="00465272"/>
    <w:rsid w:val="00465415"/>
    <w:rsid w:val="00465F35"/>
    <w:rsid w:val="004661BA"/>
    <w:rsid w:val="0046626B"/>
    <w:rsid w:val="004666E1"/>
    <w:rsid w:val="00466A9B"/>
    <w:rsid w:val="00466CC5"/>
    <w:rsid w:val="00466E3A"/>
    <w:rsid w:val="00467129"/>
    <w:rsid w:val="004674F5"/>
    <w:rsid w:val="00467727"/>
    <w:rsid w:val="00467BDD"/>
    <w:rsid w:val="00467E55"/>
    <w:rsid w:val="00467F40"/>
    <w:rsid w:val="004701F1"/>
    <w:rsid w:val="00470232"/>
    <w:rsid w:val="0047037F"/>
    <w:rsid w:val="00470412"/>
    <w:rsid w:val="0047060F"/>
    <w:rsid w:val="00470745"/>
    <w:rsid w:val="0047079C"/>
    <w:rsid w:val="004707DC"/>
    <w:rsid w:val="00470AA7"/>
    <w:rsid w:val="00470B2D"/>
    <w:rsid w:val="00470F2F"/>
    <w:rsid w:val="004712DA"/>
    <w:rsid w:val="004713AE"/>
    <w:rsid w:val="004713C0"/>
    <w:rsid w:val="00471979"/>
    <w:rsid w:val="00471EFB"/>
    <w:rsid w:val="0047202E"/>
    <w:rsid w:val="00472256"/>
    <w:rsid w:val="00472328"/>
    <w:rsid w:val="004727CC"/>
    <w:rsid w:val="00472C17"/>
    <w:rsid w:val="00472D4F"/>
    <w:rsid w:val="004730C7"/>
    <w:rsid w:val="00473585"/>
    <w:rsid w:val="00473624"/>
    <w:rsid w:val="004737F5"/>
    <w:rsid w:val="0047392D"/>
    <w:rsid w:val="0047395B"/>
    <w:rsid w:val="00473D7C"/>
    <w:rsid w:val="00473F84"/>
    <w:rsid w:val="00474190"/>
    <w:rsid w:val="004745E6"/>
    <w:rsid w:val="0047489B"/>
    <w:rsid w:val="00474AB2"/>
    <w:rsid w:val="00474AE1"/>
    <w:rsid w:val="00474AEF"/>
    <w:rsid w:val="00474B40"/>
    <w:rsid w:val="00474C70"/>
    <w:rsid w:val="00474E05"/>
    <w:rsid w:val="00474F36"/>
    <w:rsid w:val="00474FA0"/>
    <w:rsid w:val="0047502F"/>
    <w:rsid w:val="00475066"/>
    <w:rsid w:val="0047536D"/>
    <w:rsid w:val="00475557"/>
    <w:rsid w:val="00475565"/>
    <w:rsid w:val="0047595B"/>
    <w:rsid w:val="004759F0"/>
    <w:rsid w:val="00475A54"/>
    <w:rsid w:val="0047612B"/>
    <w:rsid w:val="0047623A"/>
    <w:rsid w:val="00476D0C"/>
    <w:rsid w:val="00476E5B"/>
    <w:rsid w:val="0047724C"/>
    <w:rsid w:val="004774D1"/>
    <w:rsid w:val="00477E3B"/>
    <w:rsid w:val="00477FC4"/>
    <w:rsid w:val="00480456"/>
    <w:rsid w:val="00480590"/>
    <w:rsid w:val="004805CD"/>
    <w:rsid w:val="004806E4"/>
    <w:rsid w:val="00480AD4"/>
    <w:rsid w:val="00480CB2"/>
    <w:rsid w:val="00481079"/>
    <w:rsid w:val="004814DF"/>
    <w:rsid w:val="00481572"/>
    <w:rsid w:val="00481636"/>
    <w:rsid w:val="004817C4"/>
    <w:rsid w:val="00481892"/>
    <w:rsid w:val="00481AD5"/>
    <w:rsid w:val="00482197"/>
    <w:rsid w:val="0048242E"/>
    <w:rsid w:val="00482581"/>
    <w:rsid w:val="00482598"/>
    <w:rsid w:val="004825B6"/>
    <w:rsid w:val="004826BF"/>
    <w:rsid w:val="00482B3D"/>
    <w:rsid w:val="00482CC7"/>
    <w:rsid w:val="00482FF8"/>
    <w:rsid w:val="0048339D"/>
    <w:rsid w:val="0048349C"/>
    <w:rsid w:val="00483683"/>
    <w:rsid w:val="004836E8"/>
    <w:rsid w:val="004837B5"/>
    <w:rsid w:val="00483844"/>
    <w:rsid w:val="00483A37"/>
    <w:rsid w:val="00483F7F"/>
    <w:rsid w:val="004842E5"/>
    <w:rsid w:val="004849EE"/>
    <w:rsid w:val="00484A05"/>
    <w:rsid w:val="00484A6C"/>
    <w:rsid w:val="00484AB4"/>
    <w:rsid w:val="00484C24"/>
    <w:rsid w:val="00484E63"/>
    <w:rsid w:val="0048506E"/>
    <w:rsid w:val="00485300"/>
    <w:rsid w:val="00485A20"/>
    <w:rsid w:val="00485E47"/>
    <w:rsid w:val="00486015"/>
    <w:rsid w:val="0048606C"/>
    <w:rsid w:val="0048611A"/>
    <w:rsid w:val="00486204"/>
    <w:rsid w:val="00486556"/>
    <w:rsid w:val="004868C7"/>
    <w:rsid w:val="00486B58"/>
    <w:rsid w:val="00486E1A"/>
    <w:rsid w:val="00486E65"/>
    <w:rsid w:val="00486FA3"/>
    <w:rsid w:val="00487079"/>
    <w:rsid w:val="00487502"/>
    <w:rsid w:val="00487868"/>
    <w:rsid w:val="00487AD6"/>
    <w:rsid w:val="00487C2C"/>
    <w:rsid w:val="004901F6"/>
    <w:rsid w:val="004906D9"/>
    <w:rsid w:val="00490774"/>
    <w:rsid w:val="00490789"/>
    <w:rsid w:val="00490BE8"/>
    <w:rsid w:val="00490E1C"/>
    <w:rsid w:val="00490E31"/>
    <w:rsid w:val="00490FA1"/>
    <w:rsid w:val="00491041"/>
    <w:rsid w:val="00491056"/>
    <w:rsid w:val="00491369"/>
    <w:rsid w:val="004914B0"/>
    <w:rsid w:val="00491B81"/>
    <w:rsid w:val="00491C77"/>
    <w:rsid w:val="00491CA6"/>
    <w:rsid w:val="00491E0C"/>
    <w:rsid w:val="00491F2C"/>
    <w:rsid w:val="0049227A"/>
    <w:rsid w:val="004922FB"/>
    <w:rsid w:val="00492412"/>
    <w:rsid w:val="0049249E"/>
    <w:rsid w:val="004925F5"/>
    <w:rsid w:val="004927E1"/>
    <w:rsid w:val="00492833"/>
    <w:rsid w:val="00492A7C"/>
    <w:rsid w:val="00493800"/>
    <w:rsid w:val="0049381F"/>
    <w:rsid w:val="00493D53"/>
    <w:rsid w:val="0049407A"/>
    <w:rsid w:val="0049409E"/>
    <w:rsid w:val="0049424E"/>
    <w:rsid w:val="00494408"/>
    <w:rsid w:val="004945FC"/>
    <w:rsid w:val="0049487D"/>
    <w:rsid w:val="0049490C"/>
    <w:rsid w:val="00494B7B"/>
    <w:rsid w:val="00494BF0"/>
    <w:rsid w:val="00494F67"/>
    <w:rsid w:val="00494FA6"/>
    <w:rsid w:val="00495074"/>
    <w:rsid w:val="00495185"/>
    <w:rsid w:val="00495295"/>
    <w:rsid w:val="0049563D"/>
    <w:rsid w:val="0049573A"/>
    <w:rsid w:val="004958F8"/>
    <w:rsid w:val="00495B35"/>
    <w:rsid w:val="00495C91"/>
    <w:rsid w:val="00495F1D"/>
    <w:rsid w:val="00495F95"/>
    <w:rsid w:val="00496035"/>
    <w:rsid w:val="004966E9"/>
    <w:rsid w:val="004967D3"/>
    <w:rsid w:val="00496BAC"/>
    <w:rsid w:val="00496BBD"/>
    <w:rsid w:val="00496F19"/>
    <w:rsid w:val="004970D6"/>
    <w:rsid w:val="0049711C"/>
    <w:rsid w:val="00497235"/>
    <w:rsid w:val="0049729D"/>
    <w:rsid w:val="0049748C"/>
    <w:rsid w:val="00497833"/>
    <w:rsid w:val="00497AC0"/>
    <w:rsid w:val="00497E89"/>
    <w:rsid w:val="00497E99"/>
    <w:rsid w:val="004A0549"/>
    <w:rsid w:val="004A0627"/>
    <w:rsid w:val="004A085E"/>
    <w:rsid w:val="004A087B"/>
    <w:rsid w:val="004A0AE8"/>
    <w:rsid w:val="004A0B83"/>
    <w:rsid w:val="004A0BF8"/>
    <w:rsid w:val="004A0C2C"/>
    <w:rsid w:val="004A1226"/>
    <w:rsid w:val="004A1581"/>
    <w:rsid w:val="004A15ED"/>
    <w:rsid w:val="004A1BCA"/>
    <w:rsid w:val="004A21C4"/>
    <w:rsid w:val="004A25B4"/>
    <w:rsid w:val="004A2638"/>
    <w:rsid w:val="004A2CBC"/>
    <w:rsid w:val="004A2CE6"/>
    <w:rsid w:val="004A31E9"/>
    <w:rsid w:val="004A347B"/>
    <w:rsid w:val="004A389C"/>
    <w:rsid w:val="004A39FD"/>
    <w:rsid w:val="004A3C13"/>
    <w:rsid w:val="004A4840"/>
    <w:rsid w:val="004A499D"/>
    <w:rsid w:val="004A4B1C"/>
    <w:rsid w:val="004A4E58"/>
    <w:rsid w:val="004A4EA4"/>
    <w:rsid w:val="004A5104"/>
    <w:rsid w:val="004A520A"/>
    <w:rsid w:val="004A55A5"/>
    <w:rsid w:val="004A55E5"/>
    <w:rsid w:val="004A59A9"/>
    <w:rsid w:val="004A5BBC"/>
    <w:rsid w:val="004A5EE3"/>
    <w:rsid w:val="004A6097"/>
    <w:rsid w:val="004A6461"/>
    <w:rsid w:val="004A6966"/>
    <w:rsid w:val="004A6DB2"/>
    <w:rsid w:val="004A6F86"/>
    <w:rsid w:val="004A71C6"/>
    <w:rsid w:val="004A7252"/>
    <w:rsid w:val="004A7357"/>
    <w:rsid w:val="004A753A"/>
    <w:rsid w:val="004A78A0"/>
    <w:rsid w:val="004A7DE7"/>
    <w:rsid w:val="004A7EA8"/>
    <w:rsid w:val="004A7FCA"/>
    <w:rsid w:val="004B01D5"/>
    <w:rsid w:val="004B02C6"/>
    <w:rsid w:val="004B0650"/>
    <w:rsid w:val="004B0766"/>
    <w:rsid w:val="004B0C2C"/>
    <w:rsid w:val="004B0C80"/>
    <w:rsid w:val="004B0D3D"/>
    <w:rsid w:val="004B1661"/>
    <w:rsid w:val="004B1888"/>
    <w:rsid w:val="004B19F8"/>
    <w:rsid w:val="004B1CA0"/>
    <w:rsid w:val="004B207A"/>
    <w:rsid w:val="004B2415"/>
    <w:rsid w:val="004B2621"/>
    <w:rsid w:val="004B2D1C"/>
    <w:rsid w:val="004B303C"/>
    <w:rsid w:val="004B3256"/>
    <w:rsid w:val="004B33CE"/>
    <w:rsid w:val="004B3492"/>
    <w:rsid w:val="004B35EB"/>
    <w:rsid w:val="004B3680"/>
    <w:rsid w:val="004B368D"/>
    <w:rsid w:val="004B380A"/>
    <w:rsid w:val="004B38BC"/>
    <w:rsid w:val="004B39E1"/>
    <w:rsid w:val="004B3C03"/>
    <w:rsid w:val="004B3D44"/>
    <w:rsid w:val="004B43CF"/>
    <w:rsid w:val="004B4A55"/>
    <w:rsid w:val="004B4C66"/>
    <w:rsid w:val="004B4D76"/>
    <w:rsid w:val="004B4F3A"/>
    <w:rsid w:val="004B50B7"/>
    <w:rsid w:val="004B5180"/>
    <w:rsid w:val="004B56FC"/>
    <w:rsid w:val="004B5BEA"/>
    <w:rsid w:val="004B5C6B"/>
    <w:rsid w:val="004B5CB4"/>
    <w:rsid w:val="004B5E8C"/>
    <w:rsid w:val="004B6A47"/>
    <w:rsid w:val="004B6B4E"/>
    <w:rsid w:val="004B6CC1"/>
    <w:rsid w:val="004B6D84"/>
    <w:rsid w:val="004B6D8F"/>
    <w:rsid w:val="004B7567"/>
    <w:rsid w:val="004B7E06"/>
    <w:rsid w:val="004B7E07"/>
    <w:rsid w:val="004C011F"/>
    <w:rsid w:val="004C0137"/>
    <w:rsid w:val="004C02AD"/>
    <w:rsid w:val="004C0380"/>
    <w:rsid w:val="004C083E"/>
    <w:rsid w:val="004C0941"/>
    <w:rsid w:val="004C0BCD"/>
    <w:rsid w:val="004C0F26"/>
    <w:rsid w:val="004C116D"/>
    <w:rsid w:val="004C1206"/>
    <w:rsid w:val="004C1ACC"/>
    <w:rsid w:val="004C246C"/>
    <w:rsid w:val="004C24A1"/>
    <w:rsid w:val="004C2507"/>
    <w:rsid w:val="004C2D20"/>
    <w:rsid w:val="004C2E9D"/>
    <w:rsid w:val="004C2F1A"/>
    <w:rsid w:val="004C3938"/>
    <w:rsid w:val="004C3985"/>
    <w:rsid w:val="004C3AC0"/>
    <w:rsid w:val="004C3B59"/>
    <w:rsid w:val="004C4171"/>
    <w:rsid w:val="004C41AD"/>
    <w:rsid w:val="004C43C5"/>
    <w:rsid w:val="004C4606"/>
    <w:rsid w:val="004C4D9F"/>
    <w:rsid w:val="004C4F92"/>
    <w:rsid w:val="004C5468"/>
    <w:rsid w:val="004C55FF"/>
    <w:rsid w:val="004C5C83"/>
    <w:rsid w:val="004C64CC"/>
    <w:rsid w:val="004C64E1"/>
    <w:rsid w:val="004C6837"/>
    <w:rsid w:val="004C694B"/>
    <w:rsid w:val="004C6C10"/>
    <w:rsid w:val="004C794A"/>
    <w:rsid w:val="004C7960"/>
    <w:rsid w:val="004C7C63"/>
    <w:rsid w:val="004C7D7C"/>
    <w:rsid w:val="004C7ED5"/>
    <w:rsid w:val="004C7F6E"/>
    <w:rsid w:val="004D0442"/>
    <w:rsid w:val="004D061D"/>
    <w:rsid w:val="004D090A"/>
    <w:rsid w:val="004D098A"/>
    <w:rsid w:val="004D0A48"/>
    <w:rsid w:val="004D0D40"/>
    <w:rsid w:val="004D0EA1"/>
    <w:rsid w:val="004D1202"/>
    <w:rsid w:val="004D135D"/>
    <w:rsid w:val="004D140F"/>
    <w:rsid w:val="004D1597"/>
    <w:rsid w:val="004D1963"/>
    <w:rsid w:val="004D19C6"/>
    <w:rsid w:val="004D1AD9"/>
    <w:rsid w:val="004D1D35"/>
    <w:rsid w:val="004D233B"/>
    <w:rsid w:val="004D2492"/>
    <w:rsid w:val="004D25B2"/>
    <w:rsid w:val="004D27B1"/>
    <w:rsid w:val="004D2985"/>
    <w:rsid w:val="004D2995"/>
    <w:rsid w:val="004D2A50"/>
    <w:rsid w:val="004D30D3"/>
    <w:rsid w:val="004D314C"/>
    <w:rsid w:val="004D37A9"/>
    <w:rsid w:val="004D37B4"/>
    <w:rsid w:val="004D3BCC"/>
    <w:rsid w:val="004D3CB6"/>
    <w:rsid w:val="004D40C4"/>
    <w:rsid w:val="004D40EB"/>
    <w:rsid w:val="004D4664"/>
    <w:rsid w:val="004D466B"/>
    <w:rsid w:val="004D56ED"/>
    <w:rsid w:val="004D58D2"/>
    <w:rsid w:val="004D5CDB"/>
    <w:rsid w:val="004D5E50"/>
    <w:rsid w:val="004D6279"/>
    <w:rsid w:val="004D62C7"/>
    <w:rsid w:val="004D65A7"/>
    <w:rsid w:val="004D68A1"/>
    <w:rsid w:val="004D6992"/>
    <w:rsid w:val="004D71DB"/>
    <w:rsid w:val="004D7296"/>
    <w:rsid w:val="004D7548"/>
    <w:rsid w:val="004D7C95"/>
    <w:rsid w:val="004E0128"/>
    <w:rsid w:val="004E0641"/>
    <w:rsid w:val="004E0C04"/>
    <w:rsid w:val="004E0CD7"/>
    <w:rsid w:val="004E0E0B"/>
    <w:rsid w:val="004E0FD3"/>
    <w:rsid w:val="004E15F0"/>
    <w:rsid w:val="004E1730"/>
    <w:rsid w:val="004E1777"/>
    <w:rsid w:val="004E1965"/>
    <w:rsid w:val="004E1998"/>
    <w:rsid w:val="004E1D11"/>
    <w:rsid w:val="004E1FCF"/>
    <w:rsid w:val="004E207C"/>
    <w:rsid w:val="004E2B6D"/>
    <w:rsid w:val="004E320C"/>
    <w:rsid w:val="004E3473"/>
    <w:rsid w:val="004E36C8"/>
    <w:rsid w:val="004E38C0"/>
    <w:rsid w:val="004E3C49"/>
    <w:rsid w:val="004E3E32"/>
    <w:rsid w:val="004E4107"/>
    <w:rsid w:val="004E43F0"/>
    <w:rsid w:val="004E452F"/>
    <w:rsid w:val="004E4553"/>
    <w:rsid w:val="004E4969"/>
    <w:rsid w:val="004E4CD8"/>
    <w:rsid w:val="004E4D78"/>
    <w:rsid w:val="004E5317"/>
    <w:rsid w:val="004E5442"/>
    <w:rsid w:val="004E551D"/>
    <w:rsid w:val="004E5582"/>
    <w:rsid w:val="004E55A4"/>
    <w:rsid w:val="004E5625"/>
    <w:rsid w:val="004E5809"/>
    <w:rsid w:val="004E604F"/>
    <w:rsid w:val="004E6118"/>
    <w:rsid w:val="004E64F6"/>
    <w:rsid w:val="004E6A42"/>
    <w:rsid w:val="004E6C2F"/>
    <w:rsid w:val="004E6CC3"/>
    <w:rsid w:val="004E6E59"/>
    <w:rsid w:val="004E71B2"/>
    <w:rsid w:val="004E7E11"/>
    <w:rsid w:val="004F02E4"/>
    <w:rsid w:val="004F03D0"/>
    <w:rsid w:val="004F05BE"/>
    <w:rsid w:val="004F06E8"/>
    <w:rsid w:val="004F0A4A"/>
    <w:rsid w:val="004F0C58"/>
    <w:rsid w:val="004F1310"/>
    <w:rsid w:val="004F1530"/>
    <w:rsid w:val="004F1558"/>
    <w:rsid w:val="004F16F7"/>
    <w:rsid w:val="004F1722"/>
    <w:rsid w:val="004F187E"/>
    <w:rsid w:val="004F189E"/>
    <w:rsid w:val="004F197D"/>
    <w:rsid w:val="004F2744"/>
    <w:rsid w:val="004F27EB"/>
    <w:rsid w:val="004F29FF"/>
    <w:rsid w:val="004F2B5F"/>
    <w:rsid w:val="004F2DFC"/>
    <w:rsid w:val="004F3046"/>
    <w:rsid w:val="004F32E2"/>
    <w:rsid w:val="004F38E0"/>
    <w:rsid w:val="004F3C3F"/>
    <w:rsid w:val="004F409E"/>
    <w:rsid w:val="004F43E7"/>
    <w:rsid w:val="004F44FE"/>
    <w:rsid w:val="004F46EE"/>
    <w:rsid w:val="004F48C6"/>
    <w:rsid w:val="004F4A3A"/>
    <w:rsid w:val="004F4BE2"/>
    <w:rsid w:val="004F4C56"/>
    <w:rsid w:val="004F4CF7"/>
    <w:rsid w:val="004F4E25"/>
    <w:rsid w:val="004F50EA"/>
    <w:rsid w:val="004F517D"/>
    <w:rsid w:val="004F5292"/>
    <w:rsid w:val="004F53F0"/>
    <w:rsid w:val="004F579C"/>
    <w:rsid w:val="004F5804"/>
    <w:rsid w:val="004F58B8"/>
    <w:rsid w:val="004F60A5"/>
    <w:rsid w:val="004F653B"/>
    <w:rsid w:val="004F65D6"/>
    <w:rsid w:val="004F66A6"/>
    <w:rsid w:val="004F68B6"/>
    <w:rsid w:val="004F6A6C"/>
    <w:rsid w:val="004F6F65"/>
    <w:rsid w:val="004F72C4"/>
    <w:rsid w:val="004F7697"/>
    <w:rsid w:val="004F78B6"/>
    <w:rsid w:val="004F7A72"/>
    <w:rsid w:val="004F7B27"/>
    <w:rsid w:val="004F7F88"/>
    <w:rsid w:val="00500307"/>
    <w:rsid w:val="0050040F"/>
    <w:rsid w:val="005006DD"/>
    <w:rsid w:val="00500775"/>
    <w:rsid w:val="005009B2"/>
    <w:rsid w:val="00500C68"/>
    <w:rsid w:val="00500D28"/>
    <w:rsid w:val="00500DDD"/>
    <w:rsid w:val="0050113C"/>
    <w:rsid w:val="005014EE"/>
    <w:rsid w:val="005016DB"/>
    <w:rsid w:val="005018C5"/>
    <w:rsid w:val="00501D47"/>
    <w:rsid w:val="0050204C"/>
    <w:rsid w:val="005021BB"/>
    <w:rsid w:val="00502305"/>
    <w:rsid w:val="00502687"/>
    <w:rsid w:val="00502925"/>
    <w:rsid w:val="00502FFB"/>
    <w:rsid w:val="005031A1"/>
    <w:rsid w:val="00503614"/>
    <w:rsid w:val="00503668"/>
    <w:rsid w:val="00503D2D"/>
    <w:rsid w:val="00503E35"/>
    <w:rsid w:val="00504B68"/>
    <w:rsid w:val="00504D49"/>
    <w:rsid w:val="00504F28"/>
    <w:rsid w:val="00505018"/>
    <w:rsid w:val="00505427"/>
    <w:rsid w:val="00505D8C"/>
    <w:rsid w:val="0050645F"/>
    <w:rsid w:val="0050650C"/>
    <w:rsid w:val="00506561"/>
    <w:rsid w:val="00506677"/>
    <w:rsid w:val="0050697E"/>
    <w:rsid w:val="005069C7"/>
    <w:rsid w:val="00506BD2"/>
    <w:rsid w:val="00506CBB"/>
    <w:rsid w:val="00506CCC"/>
    <w:rsid w:val="00506F11"/>
    <w:rsid w:val="00507216"/>
    <w:rsid w:val="00507607"/>
    <w:rsid w:val="0050769D"/>
    <w:rsid w:val="005076D8"/>
    <w:rsid w:val="005079C5"/>
    <w:rsid w:val="00507BAE"/>
    <w:rsid w:val="00507C09"/>
    <w:rsid w:val="00507FEE"/>
    <w:rsid w:val="005107A6"/>
    <w:rsid w:val="0051108B"/>
    <w:rsid w:val="005112E0"/>
    <w:rsid w:val="0051131A"/>
    <w:rsid w:val="00511465"/>
    <w:rsid w:val="005119C0"/>
    <w:rsid w:val="00511D9B"/>
    <w:rsid w:val="0051263A"/>
    <w:rsid w:val="005126BE"/>
    <w:rsid w:val="00512DEE"/>
    <w:rsid w:val="00512E0F"/>
    <w:rsid w:val="00513254"/>
    <w:rsid w:val="005132D8"/>
    <w:rsid w:val="0051349F"/>
    <w:rsid w:val="005134A8"/>
    <w:rsid w:val="005134F0"/>
    <w:rsid w:val="00513643"/>
    <w:rsid w:val="00513723"/>
    <w:rsid w:val="00513B92"/>
    <w:rsid w:val="00513EAF"/>
    <w:rsid w:val="005140E4"/>
    <w:rsid w:val="0051417E"/>
    <w:rsid w:val="00514334"/>
    <w:rsid w:val="00514404"/>
    <w:rsid w:val="0051448F"/>
    <w:rsid w:val="00514491"/>
    <w:rsid w:val="0051455E"/>
    <w:rsid w:val="00514835"/>
    <w:rsid w:val="005148EF"/>
    <w:rsid w:val="00514D94"/>
    <w:rsid w:val="00514E39"/>
    <w:rsid w:val="00515021"/>
    <w:rsid w:val="00515231"/>
    <w:rsid w:val="0051553B"/>
    <w:rsid w:val="005156CA"/>
    <w:rsid w:val="00515707"/>
    <w:rsid w:val="005159D2"/>
    <w:rsid w:val="00515C76"/>
    <w:rsid w:val="00515D1C"/>
    <w:rsid w:val="00515D62"/>
    <w:rsid w:val="0051609A"/>
    <w:rsid w:val="0051611A"/>
    <w:rsid w:val="00516225"/>
    <w:rsid w:val="0051634C"/>
    <w:rsid w:val="005166B1"/>
    <w:rsid w:val="00516A63"/>
    <w:rsid w:val="00516C9C"/>
    <w:rsid w:val="005176CC"/>
    <w:rsid w:val="00517A22"/>
    <w:rsid w:val="00517A67"/>
    <w:rsid w:val="00517C7F"/>
    <w:rsid w:val="00517D78"/>
    <w:rsid w:val="00517EF9"/>
    <w:rsid w:val="005201AC"/>
    <w:rsid w:val="005204F8"/>
    <w:rsid w:val="00520648"/>
    <w:rsid w:val="00520EB0"/>
    <w:rsid w:val="00521297"/>
    <w:rsid w:val="005213A3"/>
    <w:rsid w:val="00521454"/>
    <w:rsid w:val="00521549"/>
    <w:rsid w:val="00521D1E"/>
    <w:rsid w:val="00521D38"/>
    <w:rsid w:val="00521EBC"/>
    <w:rsid w:val="00521F6C"/>
    <w:rsid w:val="005220B5"/>
    <w:rsid w:val="005222B1"/>
    <w:rsid w:val="00522654"/>
    <w:rsid w:val="0052293F"/>
    <w:rsid w:val="00522B7C"/>
    <w:rsid w:val="00523008"/>
    <w:rsid w:val="00523149"/>
    <w:rsid w:val="00523499"/>
    <w:rsid w:val="00523ABA"/>
    <w:rsid w:val="00523B55"/>
    <w:rsid w:val="00523E6D"/>
    <w:rsid w:val="00523FD7"/>
    <w:rsid w:val="005244FC"/>
    <w:rsid w:val="0052469A"/>
    <w:rsid w:val="0052483A"/>
    <w:rsid w:val="00524BDA"/>
    <w:rsid w:val="00524DAC"/>
    <w:rsid w:val="00524E69"/>
    <w:rsid w:val="00525015"/>
    <w:rsid w:val="005253F2"/>
    <w:rsid w:val="00525A81"/>
    <w:rsid w:val="00526254"/>
    <w:rsid w:val="005262B4"/>
    <w:rsid w:val="00526423"/>
    <w:rsid w:val="0052652C"/>
    <w:rsid w:val="005266C0"/>
    <w:rsid w:val="00526782"/>
    <w:rsid w:val="005267BA"/>
    <w:rsid w:val="005268AC"/>
    <w:rsid w:val="005269DF"/>
    <w:rsid w:val="00526A1C"/>
    <w:rsid w:val="00526A61"/>
    <w:rsid w:val="00526B3A"/>
    <w:rsid w:val="00526EDB"/>
    <w:rsid w:val="00526F24"/>
    <w:rsid w:val="005271CB"/>
    <w:rsid w:val="005272E1"/>
    <w:rsid w:val="005275A0"/>
    <w:rsid w:val="0052773C"/>
    <w:rsid w:val="005277EE"/>
    <w:rsid w:val="00527809"/>
    <w:rsid w:val="0052786F"/>
    <w:rsid w:val="00527F44"/>
    <w:rsid w:val="0053033A"/>
    <w:rsid w:val="0053052A"/>
    <w:rsid w:val="0053099A"/>
    <w:rsid w:val="00530A8E"/>
    <w:rsid w:val="00530DAC"/>
    <w:rsid w:val="0053120B"/>
    <w:rsid w:val="00531323"/>
    <w:rsid w:val="005313E3"/>
    <w:rsid w:val="00531562"/>
    <w:rsid w:val="00531829"/>
    <w:rsid w:val="005319D8"/>
    <w:rsid w:val="00531AB1"/>
    <w:rsid w:val="00531EE2"/>
    <w:rsid w:val="00532270"/>
    <w:rsid w:val="0053264F"/>
    <w:rsid w:val="00532CD1"/>
    <w:rsid w:val="00532F87"/>
    <w:rsid w:val="00533286"/>
    <w:rsid w:val="005332A3"/>
    <w:rsid w:val="005335E3"/>
    <w:rsid w:val="0053386B"/>
    <w:rsid w:val="005338AD"/>
    <w:rsid w:val="00533A45"/>
    <w:rsid w:val="00533DB5"/>
    <w:rsid w:val="00533EF4"/>
    <w:rsid w:val="005340FD"/>
    <w:rsid w:val="0053429F"/>
    <w:rsid w:val="00534720"/>
    <w:rsid w:val="00534986"/>
    <w:rsid w:val="00534B61"/>
    <w:rsid w:val="00534BA8"/>
    <w:rsid w:val="00534C0C"/>
    <w:rsid w:val="00535250"/>
    <w:rsid w:val="00535963"/>
    <w:rsid w:val="00535C48"/>
    <w:rsid w:val="00535C61"/>
    <w:rsid w:val="00535C7D"/>
    <w:rsid w:val="005363B2"/>
    <w:rsid w:val="00536716"/>
    <w:rsid w:val="00536772"/>
    <w:rsid w:val="005368F5"/>
    <w:rsid w:val="005368FD"/>
    <w:rsid w:val="00536FEA"/>
    <w:rsid w:val="00537187"/>
    <w:rsid w:val="00537450"/>
    <w:rsid w:val="00537628"/>
    <w:rsid w:val="005379C2"/>
    <w:rsid w:val="00537CDA"/>
    <w:rsid w:val="00537D83"/>
    <w:rsid w:val="00537EB4"/>
    <w:rsid w:val="00537FA2"/>
    <w:rsid w:val="00540210"/>
    <w:rsid w:val="0054029D"/>
    <w:rsid w:val="00540473"/>
    <w:rsid w:val="00540646"/>
    <w:rsid w:val="00540C19"/>
    <w:rsid w:val="00540C1D"/>
    <w:rsid w:val="00540CEB"/>
    <w:rsid w:val="005410AC"/>
    <w:rsid w:val="00541288"/>
    <w:rsid w:val="00541552"/>
    <w:rsid w:val="0054182B"/>
    <w:rsid w:val="005419A5"/>
    <w:rsid w:val="00541FC9"/>
    <w:rsid w:val="00542112"/>
    <w:rsid w:val="0054215C"/>
    <w:rsid w:val="00542265"/>
    <w:rsid w:val="0054230A"/>
    <w:rsid w:val="00542353"/>
    <w:rsid w:val="005424D5"/>
    <w:rsid w:val="005424ED"/>
    <w:rsid w:val="00543004"/>
    <w:rsid w:val="0054371F"/>
    <w:rsid w:val="00543845"/>
    <w:rsid w:val="00543847"/>
    <w:rsid w:val="005439CB"/>
    <w:rsid w:val="00543A1F"/>
    <w:rsid w:val="00543CF7"/>
    <w:rsid w:val="00543D7A"/>
    <w:rsid w:val="00543E08"/>
    <w:rsid w:val="0054409C"/>
    <w:rsid w:val="005440C4"/>
    <w:rsid w:val="00544245"/>
    <w:rsid w:val="00544294"/>
    <w:rsid w:val="005442FF"/>
    <w:rsid w:val="00544391"/>
    <w:rsid w:val="005445E2"/>
    <w:rsid w:val="00544877"/>
    <w:rsid w:val="005449F7"/>
    <w:rsid w:val="00545112"/>
    <w:rsid w:val="0054511C"/>
    <w:rsid w:val="0054512B"/>
    <w:rsid w:val="005453E2"/>
    <w:rsid w:val="00545411"/>
    <w:rsid w:val="00545C09"/>
    <w:rsid w:val="00545E3A"/>
    <w:rsid w:val="00545F72"/>
    <w:rsid w:val="00546722"/>
    <w:rsid w:val="00546802"/>
    <w:rsid w:val="0054711C"/>
    <w:rsid w:val="00547179"/>
    <w:rsid w:val="005478CF"/>
    <w:rsid w:val="005479EF"/>
    <w:rsid w:val="00547A91"/>
    <w:rsid w:val="00547E94"/>
    <w:rsid w:val="00550317"/>
    <w:rsid w:val="0055031A"/>
    <w:rsid w:val="00550793"/>
    <w:rsid w:val="0055088F"/>
    <w:rsid w:val="00550ADB"/>
    <w:rsid w:val="005510E4"/>
    <w:rsid w:val="00551A02"/>
    <w:rsid w:val="00551AC1"/>
    <w:rsid w:val="00551D02"/>
    <w:rsid w:val="00551FA0"/>
    <w:rsid w:val="00552449"/>
    <w:rsid w:val="0055257F"/>
    <w:rsid w:val="00552657"/>
    <w:rsid w:val="0055280B"/>
    <w:rsid w:val="0055293E"/>
    <w:rsid w:val="00552DB4"/>
    <w:rsid w:val="005530A7"/>
    <w:rsid w:val="005539E7"/>
    <w:rsid w:val="00553C88"/>
    <w:rsid w:val="00553F82"/>
    <w:rsid w:val="00553FE4"/>
    <w:rsid w:val="00554429"/>
    <w:rsid w:val="00554954"/>
    <w:rsid w:val="00554A14"/>
    <w:rsid w:val="00554CAC"/>
    <w:rsid w:val="00554DDC"/>
    <w:rsid w:val="00554F1C"/>
    <w:rsid w:val="0055570D"/>
    <w:rsid w:val="005558AC"/>
    <w:rsid w:val="005558E5"/>
    <w:rsid w:val="00555A52"/>
    <w:rsid w:val="00555C09"/>
    <w:rsid w:val="00555D6D"/>
    <w:rsid w:val="00555FFD"/>
    <w:rsid w:val="0055607E"/>
    <w:rsid w:val="00556171"/>
    <w:rsid w:val="00556358"/>
    <w:rsid w:val="005563C2"/>
    <w:rsid w:val="005565B8"/>
    <w:rsid w:val="0055700D"/>
    <w:rsid w:val="0055711A"/>
    <w:rsid w:val="005573A4"/>
    <w:rsid w:val="00557932"/>
    <w:rsid w:val="00557A81"/>
    <w:rsid w:val="00557CA3"/>
    <w:rsid w:val="00557DE3"/>
    <w:rsid w:val="00557EC1"/>
    <w:rsid w:val="0055938E"/>
    <w:rsid w:val="005600AE"/>
    <w:rsid w:val="00560149"/>
    <w:rsid w:val="005609AC"/>
    <w:rsid w:val="00560CC5"/>
    <w:rsid w:val="00560CF3"/>
    <w:rsid w:val="00560DDE"/>
    <w:rsid w:val="00560E70"/>
    <w:rsid w:val="00561156"/>
    <w:rsid w:val="005612D0"/>
    <w:rsid w:val="005613C3"/>
    <w:rsid w:val="005614EA"/>
    <w:rsid w:val="00561673"/>
    <w:rsid w:val="005618CC"/>
    <w:rsid w:val="00561A0F"/>
    <w:rsid w:val="00561AD1"/>
    <w:rsid w:val="00561C22"/>
    <w:rsid w:val="00561DB9"/>
    <w:rsid w:val="00561F0A"/>
    <w:rsid w:val="005621C7"/>
    <w:rsid w:val="005622C2"/>
    <w:rsid w:val="005622D4"/>
    <w:rsid w:val="005624C2"/>
    <w:rsid w:val="00562B13"/>
    <w:rsid w:val="00562E69"/>
    <w:rsid w:val="00563118"/>
    <w:rsid w:val="0056335E"/>
    <w:rsid w:val="00563449"/>
    <w:rsid w:val="00563480"/>
    <w:rsid w:val="005639B6"/>
    <w:rsid w:val="005639DF"/>
    <w:rsid w:val="00563B70"/>
    <w:rsid w:val="00563D4C"/>
    <w:rsid w:val="00563DE4"/>
    <w:rsid w:val="00563E39"/>
    <w:rsid w:val="00563F0B"/>
    <w:rsid w:val="00563F81"/>
    <w:rsid w:val="00563FE0"/>
    <w:rsid w:val="005642B0"/>
    <w:rsid w:val="005643D0"/>
    <w:rsid w:val="0056453B"/>
    <w:rsid w:val="0056464C"/>
    <w:rsid w:val="0056473C"/>
    <w:rsid w:val="00565387"/>
    <w:rsid w:val="00565417"/>
    <w:rsid w:val="00565567"/>
    <w:rsid w:val="00565570"/>
    <w:rsid w:val="00565898"/>
    <w:rsid w:val="0056597A"/>
    <w:rsid w:val="00565D23"/>
    <w:rsid w:val="00565DA7"/>
    <w:rsid w:val="005660B2"/>
    <w:rsid w:val="00566127"/>
    <w:rsid w:val="005661EB"/>
    <w:rsid w:val="0056660A"/>
    <w:rsid w:val="00566647"/>
    <w:rsid w:val="00566661"/>
    <w:rsid w:val="00566F43"/>
    <w:rsid w:val="005673D5"/>
    <w:rsid w:val="005674E3"/>
    <w:rsid w:val="005675C3"/>
    <w:rsid w:val="0056B906"/>
    <w:rsid w:val="0057019A"/>
    <w:rsid w:val="00570368"/>
    <w:rsid w:val="005703AF"/>
    <w:rsid w:val="00570488"/>
    <w:rsid w:val="00571184"/>
    <w:rsid w:val="00571414"/>
    <w:rsid w:val="00571462"/>
    <w:rsid w:val="005714E1"/>
    <w:rsid w:val="005715AB"/>
    <w:rsid w:val="00571831"/>
    <w:rsid w:val="00571FD8"/>
    <w:rsid w:val="005720EF"/>
    <w:rsid w:val="005725F2"/>
    <w:rsid w:val="005726CA"/>
    <w:rsid w:val="00572859"/>
    <w:rsid w:val="005728AB"/>
    <w:rsid w:val="00572F42"/>
    <w:rsid w:val="0057304A"/>
    <w:rsid w:val="005730EE"/>
    <w:rsid w:val="00573440"/>
    <w:rsid w:val="00573756"/>
    <w:rsid w:val="005737C8"/>
    <w:rsid w:val="00573E0D"/>
    <w:rsid w:val="00573E5A"/>
    <w:rsid w:val="005740C9"/>
    <w:rsid w:val="005740FB"/>
    <w:rsid w:val="0057410B"/>
    <w:rsid w:val="005748E7"/>
    <w:rsid w:val="00574C9C"/>
    <w:rsid w:val="00574CD5"/>
    <w:rsid w:val="00574CD6"/>
    <w:rsid w:val="0057502A"/>
    <w:rsid w:val="00575712"/>
    <w:rsid w:val="00575829"/>
    <w:rsid w:val="005758A8"/>
    <w:rsid w:val="00575975"/>
    <w:rsid w:val="0057598E"/>
    <w:rsid w:val="00575AA1"/>
    <w:rsid w:val="00575CEB"/>
    <w:rsid w:val="00575E91"/>
    <w:rsid w:val="00576609"/>
    <w:rsid w:val="00576755"/>
    <w:rsid w:val="00576DFB"/>
    <w:rsid w:val="00576F9D"/>
    <w:rsid w:val="005774DE"/>
    <w:rsid w:val="005775F8"/>
    <w:rsid w:val="0057762C"/>
    <w:rsid w:val="00577694"/>
    <w:rsid w:val="00577850"/>
    <w:rsid w:val="00577A6A"/>
    <w:rsid w:val="00577A86"/>
    <w:rsid w:val="00577C36"/>
    <w:rsid w:val="00577FEC"/>
    <w:rsid w:val="005801F4"/>
    <w:rsid w:val="00580BF7"/>
    <w:rsid w:val="00580E94"/>
    <w:rsid w:val="0058138B"/>
    <w:rsid w:val="005815FC"/>
    <w:rsid w:val="00581D4F"/>
    <w:rsid w:val="0058227E"/>
    <w:rsid w:val="005825A2"/>
    <w:rsid w:val="005827EC"/>
    <w:rsid w:val="00582907"/>
    <w:rsid w:val="00583141"/>
    <w:rsid w:val="0058333A"/>
    <w:rsid w:val="005838FF"/>
    <w:rsid w:val="0058415A"/>
    <w:rsid w:val="005842C4"/>
    <w:rsid w:val="005844EE"/>
    <w:rsid w:val="0058476B"/>
    <w:rsid w:val="005849EC"/>
    <w:rsid w:val="00584AD1"/>
    <w:rsid w:val="00584DFD"/>
    <w:rsid w:val="0058508A"/>
    <w:rsid w:val="00585284"/>
    <w:rsid w:val="0058581B"/>
    <w:rsid w:val="005858CD"/>
    <w:rsid w:val="00585DBD"/>
    <w:rsid w:val="00585DC3"/>
    <w:rsid w:val="00585EB6"/>
    <w:rsid w:val="0058635F"/>
    <w:rsid w:val="005868BF"/>
    <w:rsid w:val="00586AF9"/>
    <w:rsid w:val="00586EE5"/>
    <w:rsid w:val="00587053"/>
    <w:rsid w:val="0058709A"/>
    <w:rsid w:val="005873E2"/>
    <w:rsid w:val="00587953"/>
    <w:rsid w:val="005879E8"/>
    <w:rsid w:val="00587AE2"/>
    <w:rsid w:val="00587BEF"/>
    <w:rsid w:val="00587C1C"/>
    <w:rsid w:val="00587EA0"/>
    <w:rsid w:val="0059002B"/>
    <w:rsid w:val="005902EB"/>
    <w:rsid w:val="0059045D"/>
    <w:rsid w:val="0059086E"/>
    <w:rsid w:val="00591297"/>
    <w:rsid w:val="00591389"/>
    <w:rsid w:val="00591693"/>
    <w:rsid w:val="00591875"/>
    <w:rsid w:val="005918EF"/>
    <w:rsid w:val="00591BAF"/>
    <w:rsid w:val="00591F03"/>
    <w:rsid w:val="0059226C"/>
    <w:rsid w:val="0059229F"/>
    <w:rsid w:val="005923BE"/>
    <w:rsid w:val="005926EE"/>
    <w:rsid w:val="00592C2C"/>
    <w:rsid w:val="0059305E"/>
    <w:rsid w:val="005931C8"/>
    <w:rsid w:val="00593597"/>
    <w:rsid w:val="005937B9"/>
    <w:rsid w:val="005937DC"/>
    <w:rsid w:val="00593D12"/>
    <w:rsid w:val="00593D4B"/>
    <w:rsid w:val="0059408A"/>
    <w:rsid w:val="005943BC"/>
    <w:rsid w:val="0059440A"/>
    <w:rsid w:val="005944B1"/>
    <w:rsid w:val="00594617"/>
    <w:rsid w:val="005949FD"/>
    <w:rsid w:val="00594F9A"/>
    <w:rsid w:val="0059518B"/>
    <w:rsid w:val="0059533C"/>
    <w:rsid w:val="00595509"/>
    <w:rsid w:val="0059550F"/>
    <w:rsid w:val="005956AA"/>
    <w:rsid w:val="005956B8"/>
    <w:rsid w:val="0059585F"/>
    <w:rsid w:val="00595B2E"/>
    <w:rsid w:val="00595C71"/>
    <w:rsid w:val="005962BB"/>
    <w:rsid w:val="0059642B"/>
    <w:rsid w:val="00596B15"/>
    <w:rsid w:val="00596B80"/>
    <w:rsid w:val="00596DA0"/>
    <w:rsid w:val="00596EBE"/>
    <w:rsid w:val="00596ED9"/>
    <w:rsid w:val="005973A5"/>
    <w:rsid w:val="005974EC"/>
    <w:rsid w:val="00597874"/>
    <w:rsid w:val="005978E0"/>
    <w:rsid w:val="00597AC5"/>
    <w:rsid w:val="00597ADC"/>
    <w:rsid w:val="00597F5D"/>
    <w:rsid w:val="005A0105"/>
    <w:rsid w:val="005A012B"/>
    <w:rsid w:val="005A013B"/>
    <w:rsid w:val="005A0252"/>
    <w:rsid w:val="005A0401"/>
    <w:rsid w:val="005A06CA"/>
    <w:rsid w:val="005A08BB"/>
    <w:rsid w:val="005A0ABA"/>
    <w:rsid w:val="005A0C4E"/>
    <w:rsid w:val="005A163E"/>
    <w:rsid w:val="005A1688"/>
    <w:rsid w:val="005A18C0"/>
    <w:rsid w:val="005A192D"/>
    <w:rsid w:val="005A1A57"/>
    <w:rsid w:val="005A1BFE"/>
    <w:rsid w:val="005A1E0F"/>
    <w:rsid w:val="005A2195"/>
    <w:rsid w:val="005A23C8"/>
    <w:rsid w:val="005A264E"/>
    <w:rsid w:val="005A310B"/>
    <w:rsid w:val="005A3601"/>
    <w:rsid w:val="005A3AED"/>
    <w:rsid w:val="005A3CEE"/>
    <w:rsid w:val="005A4191"/>
    <w:rsid w:val="005A41FD"/>
    <w:rsid w:val="005A4245"/>
    <w:rsid w:val="005A45A5"/>
    <w:rsid w:val="005A4601"/>
    <w:rsid w:val="005A487F"/>
    <w:rsid w:val="005A4B11"/>
    <w:rsid w:val="005A4D3E"/>
    <w:rsid w:val="005A51E7"/>
    <w:rsid w:val="005A53A5"/>
    <w:rsid w:val="005A5609"/>
    <w:rsid w:val="005A574F"/>
    <w:rsid w:val="005A5963"/>
    <w:rsid w:val="005A5A54"/>
    <w:rsid w:val="005A5ADB"/>
    <w:rsid w:val="005A6594"/>
    <w:rsid w:val="005A688A"/>
    <w:rsid w:val="005A6A61"/>
    <w:rsid w:val="005A6AD2"/>
    <w:rsid w:val="005A6D67"/>
    <w:rsid w:val="005A6D8C"/>
    <w:rsid w:val="005A6F85"/>
    <w:rsid w:val="005A74F1"/>
    <w:rsid w:val="005A752C"/>
    <w:rsid w:val="005A7999"/>
    <w:rsid w:val="005A7F53"/>
    <w:rsid w:val="005A7FDD"/>
    <w:rsid w:val="005A7FDF"/>
    <w:rsid w:val="005B0223"/>
    <w:rsid w:val="005B03C3"/>
    <w:rsid w:val="005B050D"/>
    <w:rsid w:val="005B07C2"/>
    <w:rsid w:val="005B0AE3"/>
    <w:rsid w:val="005B0B0B"/>
    <w:rsid w:val="005B1183"/>
    <w:rsid w:val="005B1440"/>
    <w:rsid w:val="005B14B3"/>
    <w:rsid w:val="005B1647"/>
    <w:rsid w:val="005B1993"/>
    <w:rsid w:val="005B1D14"/>
    <w:rsid w:val="005B1D79"/>
    <w:rsid w:val="005B1FC8"/>
    <w:rsid w:val="005B21A7"/>
    <w:rsid w:val="005B2CB0"/>
    <w:rsid w:val="005B2F58"/>
    <w:rsid w:val="005B3117"/>
    <w:rsid w:val="005B31F6"/>
    <w:rsid w:val="005B3778"/>
    <w:rsid w:val="005B3985"/>
    <w:rsid w:val="005B3AE1"/>
    <w:rsid w:val="005B3B5C"/>
    <w:rsid w:val="005B3D48"/>
    <w:rsid w:val="005B3DB0"/>
    <w:rsid w:val="005B3F74"/>
    <w:rsid w:val="005B4056"/>
    <w:rsid w:val="005B4061"/>
    <w:rsid w:val="005B4111"/>
    <w:rsid w:val="005B414A"/>
    <w:rsid w:val="005B41B1"/>
    <w:rsid w:val="005B41C0"/>
    <w:rsid w:val="005B455A"/>
    <w:rsid w:val="005B485F"/>
    <w:rsid w:val="005B4A03"/>
    <w:rsid w:val="005B4B29"/>
    <w:rsid w:val="005B4CE7"/>
    <w:rsid w:val="005B4F75"/>
    <w:rsid w:val="005B507C"/>
    <w:rsid w:val="005B5546"/>
    <w:rsid w:val="005B58FE"/>
    <w:rsid w:val="005B5AD7"/>
    <w:rsid w:val="005B5B77"/>
    <w:rsid w:val="005B5DAF"/>
    <w:rsid w:val="005B5F80"/>
    <w:rsid w:val="005B60BA"/>
    <w:rsid w:val="005B6175"/>
    <w:rsid w:val="005B6187"/>
    <w:rsid w:val="005B68E5"/>
    <w:rsid w:val="005B6B00"/>
    <w:rsid w:val="005B6D9D"/>
    <w:rsid w:val="005B7029"/>
    <w:rsid w:val="005B70FC"/>
    <w:rsid w:val="005B7250"/>
    <w:rsid w:val="005B761F"/>
    <w:rsid w:val="005B76C2"/>
    <w:rsid w:val="005B78E1"/>
    <w:rsid w:val="005B7C76"/>
    <w:rsid w:val="005C0175"/>
    <w:rsid w:val="005C019F"/>
    <w:rsid w:val="005C0231"/>
    <w:rsid w:val="005C02F8"/>
    <w:rsid w:val="005C030D"/>
    <w:rsid w:val="005C03B4"/>
    <w:rsid w:val="005C05B0"/>
    <w:rsid w:val="005C085E"/>
    <w:rsid w:val="005C08FB"/>
    <w:rsid w:val="005C0A21"/>
    <w:rsid w:val="005C0ABE"/>
    <w:rsid w:val="005C0EAC"/>
    <w:rsid w:val="005C0F38"/>
    <w:rsid w:val="005C11E2"/>
    <w:rsid w:val="005C1587"/>
    <w:rsid w:val="005C16B2"/>
    <w:rsid w:val="005C1B03"/>
    <w:rsid w:val="005C1C32"/>
    <w:rsid w:val="005C1E7B"/>
    <w:rsid w:val="005C2233"/>
    <w:rsid w:val="005C22DD"/>
    <w:rsid w:val="005C22FC"/>
    <w:rsid w:val="005C23E7"/>
    <w:rsid w:val="005C250F"/>
    <w:rsid w:val="005C261C"/>
    <w:rsid w:val="005C26D2"/>
    <w:rsid w:val="005C2F83"/>
    <w:rsid w:val="005C3432"/>
    <w:rsid w:val="005C35F9"/>
    <w:rsid w:val="005C373A"/>
    <w:rsid w:val="005C37BA"/>
    <w:rsid w:val="005C386F"/>
    <w:rsid w:val="005C3AD3"/>
    <w:rsid w:val="005C3CA8"/>
    <w:rsid w:val="005C3D85"/>
    <w:rsid w:val="005C411A"/>
    <w:rsid w:val="005C41F8"/>
    <w:rsid w:val="005C4466"/>
    <w:rsid w:val="005C4968"/>
    <w:rsid w:val="005C49C3"/>
    <w:rsid w:val="005C4DF8"/>
    <w:rsid w:val="005C4F64"/>
    <w:rsid w:val="005C5394"/>
    <w:rsid w:val="005C5639"/>
    <w:rsid w:val="005C5730"/>
    <w:rsid w:val="005C58A8"/>
    <w:rsid w:val="005C58EA"/>
    <w:rsid w:val="005C5B9D"/>
    <w:rsid w:val="005C5E98"/>
    <w:rsid w:val="005C5F86"/>
    <w:rsid w:val="005C61F9"/>
    <w:rsid w:val="005C655B"/>
    <w:rsid w:val="005C67F7"/>
    <w:rsid w:val="005C6D54"/>
    <w:rsid w:val="005C6E49"/>
    <w:rsid w:val="005C70F7"/>
    <w:rsid w:val="005C71C1"/>
    <w:rsid w:val="005C78E2"/>
    <w:rsid w:val="005C7B03"/>
    <w:rsid w:val="005C7CFD"/>
    <w:rsid w:val="005C7D99"/>
    <w:rsid w:val="005D053B"/>
    <w:rsid w:val="005D06ED"/>
    <w:rsid w:val="005D089E"/>
    <w:rsid w:val="005D09F3"/>
    <w:rsid w:val="005D135B"/>
    <w:rsid w:val="005D1A6E"/>
    <w:rsid w:val="005D1AB6"/>
    <w:rsid w:val="005D1D58"/>
    <w:rsid w:val="005D1E13"/>
    <w:rsid w:val="005D23F6"/>
    <w:rsid w:val="005D2497"/>
    <w:rsid w:val="005D2995"/>
    <w:rsid w:val="005D2FF9"/>
    <w:rsid w:val="005D3850"/>
    <w:rsid w:val="005D3CF3"/>
    <w:rsid w:val="005D3DDF"/>
    <w:rsid w:val="005D40E5"/>
    <w:rsid w:val="005D431D"/>
    <w:rsid w:val="005D4631"/>
    <w:rsid w:val="005D4AD4"/>
    <w:rsid w:val="005D50C4"/>
    <w:rsid w:val="005D529D"/>
    <w:rsid w:val="005D569A"/>
    <w:rsid w:val="005D5D25"/>
    <w:rsid w:val="005D6225"/>
    <w:rsid w:val="005D6715"/>
    <w:rsid w:val="005D6947"/>
    <w:rsid w:val="005D6B5D"/>
    <w:rsid w:val="005D6B89"/>
    <w:rsid w:val="005D6CD7"/>
    <w:rsid w:val="005D6E0D"/>
    <w:rsid w:val="005D6EBF"/>
    <w:rsid w:val="005D7225"/>
    <w:rsid w:val="005D730D"/>
    <w:rsid w:val="005D75F8"/>
    <w:rsid w:val="005D792E"/>
    <w:rsid w:val="005D7EDC"/>
    <w:rsid w:val="005E010D"/>
    <w:rsid w:val="005E0645"/>
    <w:rsid w:val="005E06E9"/>
    <w:rsid w:val="005E0995"/>
    <w:rsid w:val="005E0A6A"/>
    <w:rsid w:val="005E0BAF"/>
    <w:rsid w:val="005E0F8A"/>
    <w:rsid w:val="005E121D"/>
    <w:rsid w:val="005E1282"/>
    <w:rsid w:val="005E152A"/>
    <w:rsid w:val="005E16EF"/>
    <w:rsid w:val="005E17F8"/>
    <w:rsid w:val="005E19DB"/>
    <w:rsid w:val="005E1BE4"/>
    <w:rsid w:val="005E1C7A"/>
    <w:rsid w:val="005E1E24"/>
    <w:rsid w:val="005E1FAD"/>
    <w:rsid w:val="005E2877"/>
    <w:rsid w:val="005E2A37"/>
    <w:rsid w:val="005E2DD8"/>
    <w:rsid w:val="005E3332"/>
    <w:rsid w:val="005E3462"/>
    <w:rsid w:val="005E3D15"/>
    <w:rsid w:val="005E3E12"/>
    <w:rsid w:val="005E3EF0"/>
    <w:rsid w:val="005E43A9"/>
    <w:rsid w:val="005E43C7"/>
    <w:rsid w:val="005E4625"/>
    <w:rsid w:val="005E4ACA"/>
    <w:rsid w:val="005E4C04"/>
    <w:rsid w:val="005E4DBD"/>
    <w:rsid w:val="005E5664"/>
    <w:rsid w:val="005E5A2F"/>
    <w:rsid w:val="005E5E08"/>
    <w:rsid w:val="005E615C"/>
    <w:rsid w:val="005E6888"/>
    <w:rsid w:val="005E715E"/>
    <w:rsid w:val="005E737B"/>
    <w:rsid w:val="005E7557"/>
    <w:rsid w:val="005E7590"/>
    <w:rsid w:val="005E7A5B"/>
    <w:rsid w:val="005E7D29"/>
    <w:rsid w:val="005E7DF0"/>
    <w:rsid w:val="005E7E27"/>
    <w:rsid w:val="005E7F24"/>
    <w:rsid w:val="005F0034"/>
    <w:rsid w:val="005F04D1"/>
    <w:rsid w:val="005F0A92"/>
    <w:rsid w:val="005F12D7"/>
    <w:rsid w:val="005F134C"/>
    <w:rsid w:val="005F137C"/>
    <w:rsid w:val="005F1831"/>
    <w:rsid w:val="005F1CD8"/>
    <w:rsid w:val="005F220E"/>
    <w:rsid w:val="005F230D"/>
    <w:rsid w:val="005F2E18"/>
    <w:rsid w:val="005F2F81"/>
    <w:rsid w:val="005F32A7"/>
    <w:rsid w:val="005F34CD"/>
    <w:rsid w:val="005F3630"/>
    <w:rsid w:val="005F3A7D"/>
    <w:rsid w:val="005F3E7C"/>
    <w:rsid w:val="005F46D5"/>
    <w:rsid w:val="005F494E"/>
    <w:rsid w:val="005F4A3C"/>
    <w:rsid w:val="005F4B6E"/>
    <w:rsid w:val="005F4F56"/>
    <w:rsid w:val="005F500E"/>
    <w:rsid w:val="005F50AF"/>
    <w:rsid w:val="005F521E"/>
    <w:rsid w:val="005F52AA"/>
    <w:rsid w:val="005F550D"/>
    <w:rsid w:val="005F57B3"/>
    <w:rsid w:val="005F592C"/>
    <w:rsid w:val="005F5A46"/>
    <w:rsid w:val="005F5A50"/>
    <w:rsid w:val="005F5ABF"/>
    <w:rsid w:val="005F5BB7"/>
    <w:rsid w:val="005F612C"/>
    <w:rsid w:val="005F6698"/>
    <w:rsid w:val="005F6897"/>
    <w:rsid w:val="005F6BD2"/>
    <w:rsid w:val="005F6E2B"/>
    <w:rsid w:val="005F6FB8"/>
    <w:rsid w:val="005F74AB"/>
    <w:rsid w:val="005F7799"/>
    <w:rsid w:val="005F7A53"/>
    <w:rsid w:val="005F7AF5"/>
    <w:rsid w:val="005F7C66"/>
    <w:rsid w:val="005F7CAD"/>
    <w:rsid w:val="00600032"/>
    <w:rsid w:val="006000C0"/>
    <w:rsid w:val="00600666"/>
    <w:rsid w:val="00600BF1"/>
    <w:rsid w:val="006011B5"/>
    <w:rsid w:val="00601236"/>
    <w:rsid w:val="006017D0"/>
    <w:rsid w:val="00601BD2"/>
    <w:rsid w:val="00601CD9"/>
    <w:rsid w:val="00602225"/>
    <w:rsid w:val="0060265F"/>
    <w:rsid w:val="00602AAD"/>
    <w:rsid w:val="00602B9A"/>
    <w:rsid w:val="00602C04"/>
    <w:rsid w:val="00602C08"/>
    <w:rsid w:val="0060307D"/>
    <w:rsid w:val="006033C3"/>
    <w:rsid w:val="006038EB"/>
    <w:rsid w:val="006039F0"/>
    <w:rsid w:val="00603B6F"/>
    <w:rsid w:val="00603EEE"/>
    <w:rsid w:val="0060477F"/>
    <w:rsid w:val="006048A7"/>
    <w:rsid w:val="006052FF"/>
    <w:rsid w:val="00605439"/>
    <w:rsid w:val="0060554C"/>
    <w:rsid w:val="00605662"/>
    <w:rsid w:val="00605672"/>
    <w:rsid w:val="006059E1"/>
    <w:rsid w:val="00606226"/>
    <w:rsid w:val="0060664F"/>
    <w:rsid w:val="006069D0"/>
    <w:rsid w:val="006072DE"/>
    <w:rsid w:val="006073FF"/>
    <w:rsid w:val="0060745A"/>
    <w:rsid w:val="006074D6"/>
    <w:rsid w:val="00607883"/>
    <w:rsid w:val="006079E4"/>
    <w:rsid w:val="00607AA7"/>
    <w:rsid w:val="00607B7A"/>
    <w:rsid w:val="00607C0D"/>
    <w:rsid w:val="00607FE6"/>
    <w:rsid w:val="00610054"/>
    <w:rsid w:val="006100E4"/>
    <w:rsid w:val="00610238"/>
    <w:rsid w:val="0061027F"/>
    <w:rsid w:val="0061028C"/>
    <w:rsid w:val="0061030D"/>
    <w:rsid w:val="00610552"/>
    <w:rsid w:val="006107F3"/>
    <w:rsid w:val="00610911"/>
    <w:rsid w:val="00610E50"/>
    <w:rsid w:val="006111B2"/>
    <w:rsid w:val="00611235"/>
    <w:rsid w:val="00611754"/>
    <w:rsid w:val="0061185E"/>
    <w:rsid w:val="00611DC7"/>
    <w:rsid w:val="00611F1D"/>
    <w:rsid w:val="0061269C"/>
    <w:rsid w:val="00612751"/>
    <w:rsid w:val="00612BEE"/>
    <w:rsid w:val="00612C75"/>
    <w:rsid w:val="00612D15"/>
    <w:rsid w:val="00612DCE"/>
    <w:rsid w:val="0061306C"/>
    <w:rsid w:val="00613096"/>
    <w:rsid w:val="00613147"/>
    <w:rsid w:val="00613317"/>
    <w:rsid w:val="00613445"/>
    <w:rsid w:val="0061357D"/>
    <w:rsid w:val="00613587"/>
    <w:rsid w:val="006135CF"/>
    <w:rsid w:val="006136C6"/>
    <w:rsid w:val="00613BBD"/>
    <w:rsid w:val="00613E3F"/>
    <w:rsid w:val="00614013"/>
    <w:rsid w:val="006140C2"/>
    <w:rsid w:val="006140DA"/>
    <w:rsid w:val="00614306"/>
    <w:rsid w:val="0061437C"/>
    <w:rsid w:val="006144FA"/>
    <w:rsid w:val="00614B44"/>
    <w:rsid w:val="00614E9B"/>
    <w:rsid w:val="0061501D"/>
    <w:rsid w:val="00615315"/>
    <w:rsid w:val="0061561E"/>
    <w:rsid w:val="0061597F"/>
    <w:rsid w:val="0061600F"/>
    <w:rsid w:val="00616262"/>
    <w:rsid w:val="00616928"/>
    <w:rsid w:val="00616A4C"/>
    <w:rsid w:val="00616D83"/>
    <w:rsid w:val="006171FB"/>
    <w:rsid w:val="006174AF"/>
    <w:rsid w:val="006174E0"/>
    <w:rsid w:val="0061751C"/>
    <w:rsid w:val="00617520"/>
    <w:rsid w:val="00617B39"/>
    <w:rsid w:val="00617E38"/>
    <w:rsid w:val="00620BE7"/>
    <w:rsid w:val="00620C05"/>
    <w:rsid w:val="00620E09"/>
    <w:rsid w:val="00620E17"/>
    <w:rsid w:val="00620F5F"/>
    <w:rsid w:val="0062164A"/>
    <w:rsid w:val="00621C98"/>
    <w:rsid w:val="00621DA6"/>
    <w:rsid w:val="00621F44"/>
    <w:rsid w:val="00621FC4"/>
    <w:rsid w:val="0062240A"/>
    <w:rsid w:val="006224E6"/>
    <w:rsid w:val="00622879"/>
    <w:rsid w:val="006228AD"/>
    <w:rsid w:val="00622ED5"/>
    <w:rsid w:val="0062301C"/>
    <w:rsid w:val="0062385B"/>
    <w:rsid w:val="006238DE"/>
    <w:rsid w:val="00623CBF"/>
    <w:rsid w:val="00624090"/>
    <w:rsid w:val="00624128"/>
    <w:rsid w:val="00624140"/>
    <w:rsid w:val="0062418B"/>
    <w:rsid w:val="00624250"/>
    <w:rsid w:val="006244FD"/>
    <w:rsid w:val="00624543"/>
    <w:rsid w:val="00624B0B"/>
    <w:rsid w:val="00624B2D"/>
    <w:rsid w:val="00624D3E"/>
    <w:rsid w:val="00624D73"/>
    <w:rsid w:val="00624E55"/>
    <w:rsid w:val="006251C1"/>
    <w:rsid w:val="0062523B"/>
    <w:rsid w:val="0062529F"/>
    <w:rsid w:val="006255F7"/>
    <w:rsid w:val="00625766"/>
    <w:rsid w:val="0062592E"/>
    <w:rsid w:val="00625CF0"/>
    <w:rsid w:val="00625D33"/>
    <w:rsid w:val="00625F1B"/>
    <w:rsid w:val="006260E5"/>
    <w:rsid w:val="006263C1"/>
    <w:rsid w:val="006267D4"/>
    <w:rsid w:val="00626E03"/>
    <w:rsid w:val="006271E1"/>
    <w:rsid w:val="0062750B"/>
    <w:rsid w:val="00627718"/>
    <w:rsid w:val="00627916"/>
    <w:rsid w:val="00627DEA"/>
    <w:rsid w:val="00630569"/>
    <w:rsid w:val="00630632"/>
    <w:rsid w:val="00630739"/>
    <w:rsid w:val="0063078C"/>
    <w:rsid w:val="00630925"/>
    <w:rsid w:val="00630A4F"/>
    <w:rsid w:val="0063107C"/>
    <w:rsid w:val="006311F9"/>
    <w:rsid w:val="006318FE"/>
    <w:rsid w:val="0063192D"/>
    <w:rsid w:val="006319FD"/>
    <w:rsid w:val="00631A20"/>
    <w:rsid w:val="00631A39"/>
    <w:rsid w:val="00631E84"/>
    <w:rsid w:val="00631EB5"/>
    <w:rsid w:val="006322BE"/>
    <w:rsid w:val="006327E0"/>
    <w:rsid w:val="00632F73"/>
    <w:rsid w:val="006334F3"/>
    <w:rsid w:val="00633B2A"/>
    <w:rsid w:val="00633CCA"/>
    <w:rsid w:val="00633EB5"/>
    <w:rsid w:val="00634457"/>
    <w:rsid w:val="006345B6"/>
    <w:rsid w:val="0063471B"/>
    <w:rsid w:val="00634858"/>
    <w:rsid w:val="00634905"/>
    <w:rsid w:val="0063495B"/>
    <w:rsid w:val="00634A0E"/>
    <w:rsid w:val="00634B09"/>
    <w:rsid w:val="0063513B"/>
    <w:rsid w:val="00635487"/>
    <w:rsid w:val="00635633"/>
    <w:rsid w:val="00635DBE"/>
    <w:rsid w:val="00635F4A"/>
    <w:rsid w:val="006361C7"/>
    <w:rsid w:val="00636A4C"/>
    <w:rsid w:val="0063710D"/>
    <w:rsid w:val="00637115"/>
    <w:rsid w:val="00637462"/>
    <w:rsid w:val="00637512"/>
    <w:rsid w:val="00637B1F"/>
    <w:rsid w:val="00640020"/>
    <w:rsid w:val="00640428"/>
    <w:rsid w:val="00640931"/>
    <w:rsid w:val="00640B70"/>
    <w:rsid w:val="00640BEA"/>
    <w:rsid w:val="00640CAE"/>
    <w:rsid w:val="00641228"/>
    <w:rsid w:val="00641330"/>
    <w:rsid w:val="00641478"/>
    <w:rsid w:val="00641596"/>
    <w:rsid w:val="00641E3F"/>
    <w:rsid w:val="00641E62"/>
    <w:rsid w:val="006426BA"/>
    <w:rsid w:val="0064280C"/>
    <w:rsid w:val="006429E2"/>
    <w:rsid w:val="00642D40"/>
    <w:rsid w:val="00642F6F"/>
    <w:rsid w:val="00643051"/>
    <w:rsid w:val="0064322B"/>
    <w:rsid w:val="006432E4"/>
    <w:rsid w:val="00643430"/>
    <w:rsid w:val="00643556"/>
    <w:rsid w:val="00643851"/>
    <w:rsid w:val="0064391E"/>
    <w:rsid w:val="00643948"/>
    <w:rsid w:val="0064408E"/>
    <w:rsid w:val="0064421E"/>
    <w:rsid w:val="00644667"/>
    <w:rsid w:val="006448C2"/>
    <w:rsid w:val="006448E3"/>
    <w:rsid w:val="0064493D"/>
    <w:rsid w:val="00644C40"/>
    <w:rsid w:val="006452A3"/>
    <w:rsid w:val="00645366"/>
    <w:rsid w:val="00645576"/>
    <w:rsid w:val="00645A30"/>
    <w:rsid w:val="00645E6E"/>
    <w:rsid w:val="00645FEB"/>
    <w:rsid w:val="0064630C"/>
    <w:rsid w:val="0064677E"/>
    <w:rsid w:val="0064687C"/>
    <w:rsid w:val="006468D1"/>
    <w:rsid w:val="006468FD"/>
    <w:rsid w:val="00647084"/>
    <w:rsid w:val="006473B6"/>
    <w:rsid w:val="006475A9"/>
    <w:rsid w:val="006475F4"/>
    <w:rsid w:val="00647987"/>
    <w:rsid w:val="00647A16"/>
    <w:rsid w:val="00647CEA"/>
    <w:rsid w:val="00647F23"/>
    <w:rsid w:val="00650152"/>
    <w:rsid w:val="00650235"/>
    <w:rsid w:val="00650272"/>
    <w:rsid w:val="006502E0"/>
    <w:rsid w:val="006505B2"/>
    <w:rsid w:val="00650797"/>
    <w:rsid w:val="00650AFF"/>
    <w:rsid w:val="00650C7D"/>
    <w:rsid w:val="00650ED1"/>
    <w:rsid w:val="0065196E"/>
    <w:rsid w:val="00651DE6"/>
    <w:rsid w:val="006523E1"/>
    <w:rsid w:val="00652484"/>
    <w:rsid w:val="006525E6"/>
    <w:rsid w:val="00652696"/>
    <w:rsid w:val="0065297F"/>
    <w:rsid w:val="00652CC4"/>
    <w:rsid w:val="00653070"/>
    <w:rsid w:val="00653473"/>
    <w:rsid w:val="006537BD"/>
    <w:rsid w:val="00653986"/>
    <w:rsid w:val="00653EBE"/>
    <w:rsid w:val="00653EC8"/>
    <w:rsid w:val="00654240"/>
    <w:rsid w:val="00654291"/>
    <w:rsid w:val="00654849"/>
    <w:rsid w:val="00654870"/>
    <w:rsid w:val="006548F3"/>
    <w:rsid w:val="00654A78"/>
    <w:rsid w:val="00654C27"/>
    <w:rsid w:val="00654CF1"/>
    <w:rsid w:val="0065507C"/>
    <w:rsid w:val="006553DF"/>
    <w:rsid w:val="006555B1"/>
    <w:rsid w:val="00655DAB"/>
    <w:rsid w:val="00655E2A"/>
    <w:rsid w:val="00655F19"/>
    <w:rsid w:val="00656170"/>
    <w:rsid w:val="00656194"/>
    <w:rsid w:val="0065625C"/>
    <w:rsid w:val="00656416"/>
    <w:rsid w:val="0065650F"/>
    <w:rsid w:val="006568DF"/>
    <w:rsid w:val="00656971"/>
    <w:rsid w:val="00656E73"/>
    <w:rsid w:val="00656FE7"/>
    <w:rsid w:val="0065711D"/>
    <w:rsid w:val="0065720F"/>
    <w:rsid w:val="0065740F"/>
    <w:rsid w:val="00657611"/>
    <w:rsid w:val="0065793C"/>
    <w:rsid w:val="0065794E"/>
    <w:rsid w:val="00657A2E"/>
    <w:rsid w:val="00657AE1"/>
    <w:rsid w:val="00657D0E"/>
    <w:rsid w:val="00657D63"/>
    <w:rsid w:val="00660049"/>
    <w:rsid w:val="00660113"/>
    <w:rsid w:val="00660535"/>
    <w:rsid w:val="006606DD"/>
    <w:rsid w:val="00660A9D"/>
    <w:rsid w:val="00660AE5"/>
    <w:rsid w:val="0066141B"/>
    <w:rsid w:val="00661735"/>
    <w:rsid w:val="00661A15"/>
    <w:rsid w:val="00661AFF"/>
    <w:rsid w:val="00661C96"/>
    <w:rsid w:val="00661E56"/>
    <w:rsid w:val="006623B8"/>
    <w:rsid w:val="006626F6"/>
    <w:rsid w:val="00662732"/>
    <w:rsid w:val="0066283D"/>
    <w:rsid w:val="00662AC2"/>
    <w:rsid w:val="00662B19"/>
    <w:rsid w:val="00662E3A"/>
    <w:rsid w:val="00662F58"/>
    <w:rsid w:val="00662FBD"/>
    <w:rsid w:val="00663837"/>
    <w:rsid w:val="00663B23"/>
    <w:rsid w:val="00663D75"/>
    <w:rsid w:val="006646FD"/>
    <w:rsid w:val="00664732"/>
    <w:rsid w:val="00664759"/>
    <w:rsid w:val="0066496E"/>
    <w:rsid w:val="00664DA3"/>
    <w:rsid w:val="00664ECF"/>
    <w:rsid w:val="0066510A"/>
    <w:rsid w:val="006651B7"/>
    <w:rsid w:val="00665236"/>
    <w:rsid w:val="006658AF"/>
    <w:rsid w:val="00665B53"/>
    <w:rsid w:val="00665C23"/>
    <w:rsid w:val="00665C3E"/>
    <w:rsid w:val="00665E49"/>
    <w:rsid w:val="00666136"/>
    <w:rsid w:val="00666FAB"/>
    <w:rsid w:val="006679C3"/>
    <w:rsid w:val="00667AAD"/>
    <w:rsid w:val="00667B34"/>
    <w:rsid w:val="00667BD3"/>
    <w:rsid w:val="00667C6D"/>
    <w:rsid w:val="00667CB7"/>
    <w:rsid w:val="00670582"/>
    <w:rsid w:val="00670782"/>
    <w:rsid w:val="006709E1"/>
    <w:rsid w:val="006710B9"/>
    <w:rsid w:val="00671283"/>
    <w:rsid w:val="0067139A"/>
    <w:rsid w:val="0067165E"/>
    <w:rsid w:val="0067198C"/>
    <w:rsid w:val="00671AA0"/>
    <w:rsid w:val="00671B96"/>
    <w:rsid w:val="006723D0"/>
    <w:rsid w:val="00672796"/>
    <w:rsid w:val="006727F8"/>
    <w:rsid w:val="00672DD0"/>
    <w:rsid w:val="00673107"/>
    <w:rsid w:val="00673562"/>
    <w:rsid w:val="00673D5B"/>
    <w:rsid w:val="00673FBD"/>
    <w:rsid w:val="006740EB"/>
    <w:rsid w:val="00674802"/>
    <w:rsid w:val="006748A2"/>
    <w:rsid w:val="00674914"/>
    <w:rsid w:val="00674AC1"/>
    <w:rsid w:val="00674B0B"/>
    <w:rsid w:val="006751CE"/>
    <w:rsid w:val="00675321"/>
    <w:rsid w:val="00675338"/>
    <w:rsid w:val="00675802"/>
    <w:rsid w:val="0067589B"/>
    <w:rsid w:val="0067595B"/>
    <w:rsid w:val="00675CDA"/>
    <w:rsid w:val="00675FB3"/>
    <w:rsid w:val="00676044"/>
    <w:rsid w:val="0067613F"/>
    <w:rsid w:val="0067620D"/>
    <w:rsid w:val="006763BD"/>
    <w:rsid w:val="0067672C"/>
    <w:rsid w:val="00676A9B"/>
    <w:rsid w:val="00676DDA"/>
    <w:rsid w:val="00676F58"/>
    <w:rsid w:val="00677154"/>
    <w:rsid w:val="006774E7"/>
    <w:rsid w:val="00677569"/>
    <w:rsid w:val="00677A92"/>
    <w:rsid w:val="00677AEE"/>
    <w:rsid w:val="00677B6B"/>
    <w:rsid w:val="00677DD7"/>
    <w:rsid w:val="00677F4F"/>
    <w:rsid w:val="006803A3"/>
    <w:rsid w:val="0068062C"/>
    <w:rsid w:val="00680805"/>
    <w:rsid w:val="00680BFD"/>
    <w:rsid w:val="00680E06"/>
    <w:rsid w:val="00680E43"/>
    <w:rsid w:val="006814EB"/>
    <w:rsid w:val="00681616"/>
    <w:rsid w:val="00681636"/>
    <w:rsid w:val="00681708"/>
    <w:rsid w:val="00681F4B"/>
    <w:rsid w:val="00682481"/>
    <w:rsid w:val="00682690"/>
    <w:rsid w:val="0068297A"/>
    <w:rsid w:val="00682E75"/>
    <w:rsid w:val="00682F07"/>
    <w:rsid w:val="00682F3D"/>
    <w:rsid w:val="00683364"/>
    <w:rsid w:val="006833F8"/>
    <w:rsid w:val="00683410"/>
    <w:rsid w:val="00683585"/>
    <w:rsid w:val="0068375F"/>
    <w:rsid w:val="006837FA"/>
    <w:rsid w:val="00683840"/>
    <w:rsid w:val="00683AE1"/>
    <w:rsid w:val="00683D09"/>
    <w:rsid w:val="00683F77"/>
    <w:rsid w:val="006845E7"/>
    <w:rsid w:val="00684726"/>
    <w:rsid w:val="0068472B"/>
    <w:rsid w:val="0068473F"/>
    <w:rsid w:val="00684787"/>
    <w:rsid w:val="00684867"/>
    <w:rsid w:val="00684A1D"/>
    <w:rsid w:val="00684E5B"/>
    <w:rsid w:val="006850C2"/>
    <w:rsid w:val="006859EE"/>
    <w:rsid w:val="00685AB3"/>
    <w:rsid w:val="00685C5E"/>
    <w:rsid w:val="00685D89"/>
    <w:rsid w:val="00685E74"/>
    <w:rsid w:val="00685FA7"/>
    <w:rsid w:val="00686008"/>
    <w:rsid w:val="006863EF"/>
    <w:rsid w:val="006863F6"/>
    <w:rsid w:val="00686B24"/>
    <w:rsid w:val="00686BA3"/>
    <w:rsid w:val="00686C53"/>
    <w:rsid w:val="00687365"/>
    <w:rsid w:val="006873D0"/>
    <w:rsid w:val="0069010F"/>
    <w:rsid w:val="00690586"/>
    <w:rsid w:val="00690C57"/>
    <w:rsid w:val="00691709"/>
    <w:rsid w:val="00691A6B"/>
    <w:rsid w:val="00691AA3"/>
    <w:rsid w:val="00691C6E"/>
    <w:rsid w:val="00691D1D"/>
    <w:rsid w:val="00691E63"/>
    <w:rsid w:val="0069284D"/>
    <w:rsid w:val="00692940"/>
    <w:rsid w:val="00692953"/>
    <w:rsid w:val="00692A02"/>
    <w:rsid w:val="00692BD0"/>
    <w:rsid w:val="00692D10"/>
    <w:rsid w:val="00692DB5"/>
    <w:rsid w:val="00692EA5"/>
    <w:rsid w:val="00692EF0"/>
    <w:rsid w:val="00693747"/>
    <w:rsid w:val="00693843"/>
    <w:rsid w:val="00693DC1"/>
    <w:rsid w:val="0069434C"/>
    <w:rsid w:val="0069440B"/>
    <w:rsid w:val="00694443"/>
    <w:rsid w:val="0069453B"/>
    <w:rsid w:val="0069454F"/>
    <w:rsid w:val="006945F8"/>
    <w:rsid w:val="006946A1"/>
    <w:rsid w:val="00694AB0"/>
    <w:rsid w:val="006950A2"/>
    <w:rsid w:val="006950F6"/>
    <w:rsid w:val="00695647"/>
    <w:rsid w:val="006959F1"/>
    <w:rsid w:val="00695B61"/>
    <w:rsid w:val="00695C33"/>
    <w:rsid w:val="00695C98"/>
    <w:rsid w:val="00695E14"/>
    <w:rsid w:val="00695E84"/>
    <w:rsid w:val="00695EFC"/>
    <w:rsid w:val="006960B8"/>
    <w:rsid w:val="0069632F"/>
    <w:rsid w:val="006963AE"/>
    <w:rsid w:val="006968F1"/>
    <w:rsid w:val="00696D88"/>
    <w:rsid w:val="00696DC0"/>
    <w:rsid w:val="00697238"/>
    <w:rsid w:val="00697768"/>
    <w:rsid w:val="0069781A"/>
    <w:rsid w:val="006A0076"/>
    <w:rsid w:val="006A0299"/>
    <w:rsid w:val="006A02DA"/>
    <w:rsid w:val="006A0737"/>
    <w:rsid w:val="006A0914"/>
    <w:rsid w:val="006A0B59"/>
    <w:rsid w:val="006A0B9C"/>
    <w:rsid w:val="006A0B9E"/>
    <w:rsid w:val="006A0C04"/>
    <w:rsid w:val="006A0F61"/>
    <w:rsid w:val="006A0FD4"/>
    <w:rsid w:val="006A11F8"/>
    <w:rsid w:val="006A12E3"/>
    <w:rsid w:val="006A1697"/>
    <w:rsid w:val="006A1755"/>
    <w:rsid w:val="006A19A6"/>
    <w:rsid w:val="006A22E0"/>
    <w:rsid w:val="006A2564"/>
    <w:rsid w:val="006A26EB"/>
    <w:rsid w:val="006A29B7"/>
    <w:rsid w:val="006A29BF"/>
    <w:rsid w:val="006A2D8E"/>
    <w:rsid w:val="006A2DA1"/>
    <w:rsid w:val="006A2F79"/>
    <w:rsid w:val="006A338A"/>
    <w:rsid w:val="006A34C7"/>
    <w:rsid w:val="006A34FA"/>
    <w:rsid w:val="006A38FD"/>
    <w:rsid w:val="006A39F7"/>
    <w:rsid w:val="006A3A03"/>
    <w:rsid w:val="006A3A3E"/>
    <w:rsid w:val="006A445A"/>
    <w:rsid w:val="006A44E8"/>
    <w:rsid w:val="006A46AC"/>
    <w:rsid w:val="006A483B"/>
    <w:rsid w:val="006A4C04"/>
    <w:rsid w:val="006A4D7D"/>
    <w:rsid w:val="006A506D"/>
    <w:rsid w:val="006A51EF"/>
    <w:rsid w:val="006A5C37"/>
    <w:rsid w:val="006A5CBD"/>
    <w:rsid w:val="006A5D04"/>
    <w:rsid w:val="006A6301"/>
    <w:rsid w:val="006A6BDD"/>
    <w:rsid w:val="006A6D98"/>
    <w:rsid w:val="006A70A1"/>
    <w:rsid w:val="006A70AD"/>
    <w:rsid w:val="006A70FC"/>
    <w:rsid w:val="006A72B5"/>
    <w:rsid w:val="006A73C6"/>
    <w:rsid w:val="006A789C"/>
    <w:rsid w:val="006A7B48"/>
    <w:rsid w:val="006A7FBB"/>
    <w:rsid w:val="006B063D"/>
    <w:rsid w:val="006B07D5"/>
    <w:rsid w:val="006B07F9"/>
    <w:rsid w:val="006B1060"/>
    <w:rsid w:val="006B124C"/>
    <w:rsid w:val="006B1595"/>
    <w:rsid w:val="006B1764"/>
    <w:rsid w:val="006B1B10"/>
    <w:rsid w:val="006B1BAD"/>
    <w:rsid w:val="006B1CD1"/>
    <w:rsid w:val="006B2196"/>
    <w:rsid w:val="006B25A5"/>
    <w:rsid w:val="006B27A2"/>
    <w:rsid w:val="006B29E7"/>
    <w:rsid w:val="006B2C41"/>
    <w:rsid w:val="006B2E81"/>
    <w:rsid w:val="006B33F9"/>
    <w:rsid w:val="006B3838"/>
    <w:rsid w:val="006B38BC"/>
    <w:rsid w:val="006B3A19"/>
    <w:rsid w:val="006B3A5A"/>
    <w:rsid w:val="006B3C34"/>
    <w:rsid w:val="006B3D64"/>
    <w:rsid w:val="006B3FBB"/>
    <w:rsid w:val="006B4161"/>
    <w:rsid w:val="006B4218"/>
    <w:rsid w:val="006B459D"/>
    <w:rsid w:val="006B49FD"/>
    <w:rsid w:val="006B4B3A"/>
    <w:rsid w:val="006B4D73"/>
    <w:rsid w:val="006B5249"/>
    <w:rsid w:val="006B52BD"/>
    <w:rsid w:val="006B5493"/>
    <w:rsid w:val="006B5FB9"/>
    <w:rsid w:val="006B6013"/>
    <w:rsid w:val="006B61B8"/>
    <w:rsid w:val="006B639D"/>
    <w:rsid w:val="006B64A4"/>
    <w:rsid w:val="006B6892"/>
    <w:rsid w:val="006B68EC"/>
    <w:rsid w:val="006B69DF"/>
    <w:rsid w:val="006B6A9F"/>
    <w:rsid w:val="006B6AE0"/>
    <w:rsid w:val="006B6B31"/>
    <w:rsid w:val="006B6E63"/>
    <w:rsid w:val="006B6ECB"/>
    <w:rsid w:val="006B6F94"/>
    <w:rsid w:val="006B7084"/>
    <w:rsid w:val="006B714A"/>
    <w:rsid w:val="006B7506"/>
    <w:rsid w:val="006B7AFD"/>
    <w:rsid w:val="006B7D1A"/>
    <w:rsid w:val="006B7E93"/>
    <w:rsid w:val="006C0274"/>
    <w:rsid w:val="006C035C"/>
    <w:rsid w:val="006C036E"/>
    <w:rsid w:val="006C03EF"/>
    <w:rsid w:val="006C0587"/>
    <w:rsid w:val="006C05B5"/>
    <w:rsid w:val="006C0614"/>
    <w:rsid w:val="006C078E"/>
    <w:rsid w:val="006C0CE3"/>
    <w:rsid w:val="006C0E9F"/>
    <w:rsid w:val="006C1517"/>
    <w:rsid w:val="006C19C1"/>
    <w:rsid w:val="006C19F3"/>
    <w:rsid w:val="006C1FAD"/>
    <w:rsid w:val="006C20AB"/>
    <w:rsid w:val="006C2311"/>
    <w:rsid w:val="006C26DC"/>
    <w:rsid w:val="006C274E"/>
    <w:rsid w:val="006C2C93"/>
    <w:rsid w:val="006C2DF2"/>
    <w:rsid w:val="006C305D"/>
    <w:rsid w:val="006C3201"/>
    <w:rsid w:val="006C33DC"/>
    <w:rsid w:val="006C33F7"/>
    <w:rsid w:val="006C35CE"/>
    <w:rsid w:val="006C3688"/>
    <w:rsid w:val="006C3C53"/>
    <w:rsid w:val="006C3FD0"/>
    <w:rsid w:val="006C4082"/>
    <w:rsid w:val="006C4213"/>
    <w:rsid w:val="006C45DB"/>
    <w:rsid w:val="006C4689"/>
    <w:rsid w:val="006C46CD"/>
    <w:rsid w:val="006C4863"/>
    <w:rsid w:val="006C4DF9"/>
    <w:rsid w:val="006C50FC"/>
    <w:rsid w:val="006C5151"/>
    <w:rsid w:val="006C5243"/>
    <w:rsid w:val="006C5305"/>
    <w:rsid w:val="006C57B4"/>
    <w:rsid w:val="006C5D0E"/>
    <w:rsid w:val="006C6104"/>
    <w:rsid w:val="006C61E7"/>
    <w:rsid w:val="006C646F"/>
    <w:rsid w:val="006C65EF"/>
    <w:rsid w:val="006C6A0B"/>
    <w:rsid w:val="006C6BE4"/>
    <w:rsid w:val="006C6C2D"/>
    <w:rsid w:val="006C6D1C"/>
    <w:rsid w:val="006C6EE4"/>
    <w:rsid w:val="006C6EEB"/>
    <w:rsid w:val="006C7212"/>
    <w:rsid w:val="006C7263"/>
    <w:rsid w:val="006C7303"/>
    <w:rsid w:val="006C74EF"/>
    <w:rsid w:val="006C760C"/>
    <w:rsid w:val="006C7DC4"/>
    <w:rsid w:val="006D00C5"/>
    <w:rsid w:val="006D0592"/>
    <w:rsid w:val="006D0855"/>
    <w:rsid w:val="006D0B2A"/>
    <w:rsid w:val="006D0C25"/>
    <w:rsid w:val="006D0CA6"/>
    <w:rsid w:val="006D0D5D"/>
    <w:rsid w:val="006D0DCF"/>
    <w:rsid w:val="006D1638"/>
    <w:rsid w:val="006D1960"/>
    <w:rsid w:val="006D211E"/>
    <w:rsid w:val="006D21C9"/>
    <w:rsid w:val="006D22BF"/>
    <w:rsid w:val="006D2536"/>
    <w:rsid w:val="006D259B"/>
    <w:rsid w:val="006D2666"/>
    <w:rsid w:val="006D27BB"/>
    <w:rsid w:val="006D3200"/>
    <w:rsid w:val="006D322E"/>
    <w:rsid w:val="006D32E2"/>
    <w:rsid w:val="006D32F9"/>
    <w:rsid w:val="006D35DE"/>
    <w:rsid w:val="006D3986"/>
    <w:rsid w:val="006D3E44"/>
    <w:rsid w:val="006D3FF6"/>
    <w:rsid w:val="006D42B8"/>
    <w:rsid w:val="006D4475"/>
    <w:rsid w:val="006D4496"/>
    <w:rsid w:val="006D44B7"/>
    <w:rsid w:val="006D44EB"/>
    <w:rsid w:val="006D45A7"/>
    <w:rsid w:val="006D4880"/>
    <w:rsid w:val="006D494C"/>
    <w:rsid w:val="006D49EB"/>
    <w:rsid w:val="006D4AB7"/>
    <w:rsid w:val="006D4B55"/>
    <w:rsid w:val="006D4CC0"/>
    <w:rsid w:val="006D5068"/>
    <w:rsid w:val="006D5092"/>
    <w:rsid w:val="006D571E"/>
    <w:rsid w:val="006D584E"/>
    <w:rsid w:val="006D59C2"/>
    <w:rsid w:val="006D5ACC"/>
    <w:rsid w:val="006D6083"/>
    <w:rsid w:val="006D62DB"/>
    <w:rsid w:val="006D6A99"/>
    <w:rsid w:val="006D6E22"/>
    <w:rsid w:val="006D6F0E"/>
    <w:rsid w:val="006D70B9"/>
    <w:rsid w:val="006D75EB"/>
    <w:rsid w:val="006D76E8"/>
    <w:rsid w:val="006D7B4F"/>
    <w:rsid w:val="006D7E4E"/>
    <w:rsid w:val="006D7FEF"/>
    <w:rsid w:val="006E0225"/>
    <w:rsid w:val="006E02B9"/>
    <w:rsid w:val="006E05B8"/>
    <w:rsid w:val="006E05EF"/>
    <w:rsid w:val="006E0617"/>
    <w:rsid w:val="006E0740"/>
    <w:rsid w:val="006E0C55"/>
    <w:rsid w:val="006E0CB0"/>
    <w:rsid w:val="006E0F5B"/>
    <w:rsid w:val="006E100E"/>
    <w:rsid w:val="006E120F"/>
    <w:rsid w:val="006E14CD"/>
    <w:rsid w:val="006E16F1"/>
    <w:rsid w:val="006E17EB"/>
    <w:rsid w:val="006E1854"/>
    <w:rsid w:val="006E19AD"/>
    <w:rsid w:val="006E1A52"/>
    <w:rsid w:val="006E1AD7"/>
    <w:rsid w:val="006E1DDE"/>
    <w:rsid w:val="006E1F29"/>
    <w:rsid w:val="006E214C"/>
    <w:rsid w:val="006E22B6"/>
    <w:rsid w:val="006E2375"/>
    <w:rsid w:val="006E2376"/>
    <w:rsid w:val="006E2A97"/>
    <w:rsid w:val="006E2E96"/>
    <w:rsid w:val="006E2EF5"/>
    <w:rsid w:val="006E2FBC"/>
    <w:rsid w:val="006E379B"/>
    <w:rsid w:val="006E381A"/>
    <w:rsid w:val="006E3844"/>
    <w:rsid w:val="006E38C1"/>
    <w:rsid w:val="006E3FE0"/>
    <w:rsid w:val="006E3FEB"/>
    <w:rsid w:val="006E409E"/>
    <w:rsid w:val="006E44E8"/>
    <w:rsid w:val="006E481A"/>
    <w:rsid w:val="006E505A"/>
    <w:rsid w:val="006E5347"/>
    <w:rsid w:val="006E5353"/>
    <w:rsid w:val="006E54D6"/>
    <w:rsid w:val="006E5B73"/>
    <w:rsid w:val="006E6297"/>
    <w:rsid w:val="006E62E3"/>
    <w:rsid w:val="006E638B"/>
    <w:rsid w:val="006E6A6B"/>
    <w:rsid w:val="006E709A"/>
    <w:rsid w:val="006E71EE"/>
    <w:rsid w:val="006E7291"/>
    <w:rsid w:val="006E72A2"/>
    <w:rsid w:val="006E74E0"/>
    <w:rsid w:val="006E7525"/>
    <w:rsid w:val="006E760C"/>
    <w:rsid w:val="006E78A3"/>
    <w:rsid w:val="006E794D"/>
    <w:rsid w:val="006F03EA"/>
    <w:rsid w:val="006F04B1"/>
    <w:rsid w:val="006F0B55"/>
    <w:rsid w:val="006F0B8E"/>
    <w:rsid w:val="006F0C1A"/>
    <w:rsid w:val="006F0D47"/>
    <w:rsid w:val="006F1035"/>
    <w:rsid w:val="006F10D1"/>
    <w:rsid w:val="006F142A"/>
    <w:rsid w:val="006F19FF"/>
    <w:rsid w:val="006F1C62"/>
    <w:rsid w:val="006F1DAF"/>
    <w:rsid w:val="006F1E91"/>
    <w:rsid w:val="006F21D9"/>
    <w:rsid w:val="006F30EA"/>
    <w:rsid w:val="006F31E2"/>
    <w:rsid w:val="006F34A8"/>
    <w:rsid w:val="006F3DC6"/>
    <w:rsid w:val="006F3E92"/>
    <w:rsid w:val="006F3F22"/>
    <w:rsid w:val="006F3FE4"/>
    <w:rsid w:val="006F427B"/>
    <w:rsid w:val="006F4684"/>
    <w:rsid w:val="006F4939"/>
    <w:rsid w:val="006F4B58"/>
    <w:rsid w:val="006F4B63"/>
    <w:rsid w:val="006F4DFE"/>
    <w:rsid w:val="006F4E8D"/>
    <w:rsid w:val="006F516A"/>
    <w:rsid w:val="006F51D5"/>
    <w:rsid w:val="006F522E"/>
    <w:rsid w:val="006F55D5"/>
    <w:rsid w:val="006F5927"/>
    <w:rsid w:val="006F5AF1"/>
    <w:rsid w:val="006F5CD5"/>
    <w:rsid w:val="006F60A4"/>
    <w:rsid w:val="006F6277"/>
    <w:rsid w:val="006F655E"/>
    <w:rsid w:val="006F66B1"/>
    <w:rsid w:val="006F66E1"/>
    <w:rsid w:val="006F6C21"/>
    <w:rsid w:val="006F6E16"/>
    <w:rsid w:val="006F6E5F"/>
    <w:rsid w:val="006F6F39"/>
    <w:rsid w:val="006F70B1"/>
    <w:rsid w:val="006F7194"/>
    <w:rsid w:val="006F7763"/>
    <w:rsid w:val="006F7887"/>
    <w:rsid w:val="006F7D82"/>
    <w:rsid w:val="006F7EE9"/>
    <w:rsid w:val="007002B2"/>
    <w:rsid w:val="00700773"/>
    <w:rsid w:val="00700FA6"/>
    <w:rsid w:val="0070122B"/>
    <w:rsid w:val="00701250"/>
    <w:rsid w:val="0070147D"/>
    <w:rsid w:val="00702192"/>
    <w:rsid w:val="007021A7"/>
    <w:rsid w:val="007021A8"/>
    <w:rsid w:val="0070224C"/>
    <w:rsid w:val="00702685"/>
    <w:rsid w:val="00702D35"/>
    <w:rsid w:val="007031F8"/>
    <w:rsid w:val="00703240"/>
    <w:rsid w:val="007033D4"/>
    <w:rsid w:val="00703717"/>
    <w:rsid w:val="00703A88"/>
    <w:rsid w:val="00703CFE"/>
    <w:rsid w:val="00704174"/>
    <w:rsid w:val="00704232"/>
    <w:rsid w:val="007046F7"/>
    <w:rsid w:val="00704963"/>
    <w:rsid w:val="00704D75"/>
    <w:rsid w:val="00704DAB"/>
    <w:rsid w:val="00704DCA"/>
    <w:rsid w:val="00704F8C"/>
    <w:rsid w:val="00705052"/>
    <w:rsid w:val="007059D9"/>
    <w:rsid w:val="00705CA9"/>
    <w:rsid w:val="00705DCD"/>
    <w:rsid w:val="00705FBF"/>
    <w:rsid w:val="00706094"/>
    <w:rsid w:val="0070609B"/>
    <w:rsid w:val="007065A8"/>
    <w:rsid w:val="0070675A"/>
    <w:rsid w:val="007067C2"/>
    <w:rsid w:val="00706998"/>
    <w:rsid w:val="00706C6C"/>
    <w:rsid w:val="00706C8A"/>
    <w:rsid w:val="00706EBC"/>
    <w:rsid w:val="00706F98"/>
    <w:rsid w:val="00707264"/>
    <w:rsid w:val="007073A7"/>
    <w:rsid w:val="00707741"/>
    <w:rsid w:val="00707C36"/>
    <w:rsid w:val="00707DBE"/>
    <w:rsid w:val="00710084"/>
    <w:rsid w:val="007102C2"/>
    <w:rsid w:val="0071091F"/>
    <w:rsid w:val="00710A4D"/>
    <w:rsid w:val="00710ADF"/>
    <w:rsid w:val="0071113A"/>
    <w:rsid w:val="00711677"/>
    <w:rsid w:val="007117AB"/>
    <w:rsid w:val="007117B9"/>
    <w:rsid w:val="00711D75"/>
    <w:rsid w:val="007123E3"/>
    <w:rsid w:val="007124DD"/>
    <w:rsid w:val="0071384F"/>
    <w:rsid w:val="007138FA"/>
    <w:rsid w:val="007139D6"/>
    <w:rsid w:val="00713BB0"/>
    <w:rsid w:val="007143FF"/>
    <w:rsid w:val="007144D7"/>
    <w:rsid w:val="007146FF"/>
    <w:rsid w:val="007148FB"/>
    <w:rsid w:val="00714DBD"/>
    <w:rsid w:val="007152E2"/>
    <w:rsid w:val="0071550A"/>
    <w:rsid w:val="00715647"/>
    <w:rsid w:val="00715789"/>
    <w:rsid w:val="007157E9"/>
    <w:rsid w:val="0071589A"/>
    <w:rsid w:val="00715A5E"/>
    <w:rsid w:val="00715B1E"/>
    <w:rsid w:val="00715BF5"/>
    <w:rsid w:val="00716175"/>
    <w:rsid w:val="00716333"/>
    <w:rsid w:val="0071692C"/>
    <w:rsid w:val="00716C12"/>
    <w:rsid w:val="00716D50"/>
    <w:rsid w:val="007171CC"/>
    <w:rsid w:val="007171DB"/>
    <w:rsid w:val="007172BC"/>
    <w:rsid w:val="0071794F"/>
    <w:rsid w:val="00717B65"/>
    <w:rsid w:val="00720320"/>
    <w:rsid w:val="00720416"/>
    <w:rsid w:val="00720525"/>
    <w:rsid w:val="0072054E"/>
    <w:rsid w:val="007210FE"/>
    <w:rsid w:val="00721638"/>
    <w:rsid w:val="007219E6"/>
    <w:rsid w:val="00721CB8"/>
    <w:rsid w:val="00721EF0"/>
    <w:rsid w:val="00721F60"/>
    <w:rsid w:val="00721F6D"/>
    <w:rsid w:val="0072238B"/>
    <w:rsid w:val="007223ED"/>
    <w:rsid w:val="00722835"/>
    <w:rsid w:val="00722A00"/>
    <w:rsid w:val="00722B62"/>
    <w:rsid w:val="00722D0F"/>
    <w:rsid w:val="00722D9F"/>
    <w:rsid w:val="00722FA0"/>
    <w:rsid w:val="007238DB"/>
    <w:rsid w:val="00723925"/>
    <w:rsid w:val="00723D0F"/>
    <w:rsid w:val="00723DB7"/>
    <w:rsid w:val="007244E3"/>
    <w:rsid w:val="00724565"/>
    <w:rsid w:val="007245B7"/>
    <w:rsid w:val="00724901"/>
    <w:rsid w:val="007249E5"/>
    <w:rsid w:val="007251FD"/>
    <w:rsid w:val="007255A7"/>
    <w:rsid w:val="00725E1B"/>
    <w:rsid w:val="00726010"/>
    <w:rsid w:val="00726042"/>
    <w:rsid w:val="0072617D"/>
    <w:rsid w:val="00726721"/>
    <w:rsid w:val="007269FE"/>
    <w:rsid w:val="00726C2E"/>
    <w:rsid w:val="00726C42"/>
    <w:rsid w:val="00726F0D"/>
    <w:rsid w:val="00727007"/>
    <w:rsid w:val="007274B8"/>
    <w:rsid w:val="00727592"/>
    <w:rsid w:val="0072759D"/>
    <w:rsid w:val="0072763A"/>
    <w:rsid w:val="00727EE4"/>
    <w:rsid w:val="00730283"/>
    <w:rsid w:val="00731175"/>
    <w:rsid w:val="00731544"/>
    <w:rsid w:val="0073158E"/>
    <w:rsid w:val="00731658"/>
    <w:rsid w:val="00731B25"/>
    <w:rsid w:val="00731DA8"/>
    <w:rsid w:val="00732212"/>
    <w:rsid w:val="007323B4"/>
    <w:rsid w:val="00732622"/>
    <w:rsid w:val="00732644"/>
    <w:rsid w:val="007327D8"/>
    <w:rsid w:val="007328DE"/>
    <w:rsid w:val="007329D6"/>
    <w:rsid w:val="00732FCB"/>
    <w:rsid w:val="00733348"/>
    <w:rsid w:val="007333A9"/>
    <w:rsid w:val="00733529"/>
    <w:rsid w:val="0073375E"/>
    <w:rsid w:val="0073387D"/>
    <w:rsid w:val="00733DF3"/>
    <w:rsid w:val="00734006"/>
    <w:rsid w:val="0073425E"/>
    <w:rsid w:val="0073430D"/>
    <w:rsid w:val="0073452D"/>
    <w:rsid w:val="007347CC"/>
    <w:rsid w:val="007348BF"/>
    <w:rsid w:val="00734A0E"/>
    <w:rsid w:val="00734CAA"/>
    <w:rsid w:val="00734EA1"/>
    <w:rsid w:val="0073527C"/>
    <w:rsid w:val="007354EF"/>
    <w:rsid w:val="007357E1"/>
    <w:rsid w:val="007359C2"/>
    <w:rsid w:val="00735A56"/>
    <w:rsid w:val="00735AE8"/>
    <w:rsid w:val="00735D99"/>
    <w:rsid w:val="00735DAC"/>
    <w:rsid w:val="0073632C"/>
    <w:rsid w:val="007364BD"/>
    <w:rsid w:val="007364DB"/>
    <w:rsid w:val="007365AB"/>
    <w:rsid w:val="00736D88"/>
    <w:rsid w:val="00736E58"/>
    <w:rsid w:val="0073748D"/>
    <w:rsid w:val="007374E9"/>
    <w:rsid w:val="0073768A"/>
    <w:rsid w:val="007376D7"/>
    <w:rsid w:val="00737817"/>
    <w:rsid w:val="00737B1C"/>
    <w:rsid w:val="00737D89"/>
    <w:rsid w:val="00737EF8"/>
    <w:rsid w:val="007400FC"/>
    <w:rsid w:val="0074023E"/>
    <w:rsid w:val="0074069B"/>
    <w:rsid w:val="0074074C"/>
    <w:rsid w:val="00740761"/>
    <w:rsid w:val="00740819"/>
    <w:rsid w:val="00740AA5"/>
    <w:rsid w:val="0074154A"/>
    <w:rsid w:val="007418A3"/>
    <w:rsid w:val="00742053"/>
    <w:rsid w:val="00742190"/>
    <w:rsid w:val="007424B4"/>
    <w:rsid w:val="00742631"/>
    <w:rsid w:val="00742A6B"/>
    <w:rsid w:val="00742C55"/>
    <w:rsid w:val="00742EF7"/>
    <w:rsid w:val="007431D8"/>
    <w:rsid w:val="00743586"/>
    <w:rsid w:val="00743827"/>
    <w:rsid w:val="00743854"/>
    <w:rsid w:val="00743BCA"/>
    <w:rsid w:val="007441D3"/>
    <w:rsid w:val="00744276"/>
    <w:rsid w:val="0074466C"/>
    <w:rsid w:val="00744691"/>
    <w:rsid w:val="007446CA"/>
    <w:rsid w:val="007449D0"/>
    <w:rsid w:val="00745091"/>
    <w:rsid w:val="007450C3"/>
    <w:rsid w:val="007451FB"/>
    <w:rsid w:val="0074529B"/>
    <w:rsid w:val="00745835"/>
    <w:rsid w:val="0074589B"/>
    <w:rsid w:val="007458C5"/>
    <w:rsid w:val="00745F88"/>
    <w:rsid w:val="00746129"/>
    <w:rsid w:val="007461DF"/>
    <w:rsid w:val="00746652"/>
    <w:rsid w:val="007466D8"/>
    <w:rsid w:val="00746AB9"/>
    <w:rsid w:val="00746FBB"/>
    <w:rsid w:val="00747334"/>
    <w:rsid w:val="007474D7"/>
    <w:rsid w:val="0074786D"/>
    <w:rsid w:val="00747985"/>
    <w:rsid w:val="0074799F"/>
    <w:rsid w:val="00747D70"/>
    <w:rsid w:val="00747EDB"/>
    <w:rsid w:val="00750204"/>
    <w:rsid w:val="00750377"/>
    <w:rsid w:val="007503B5"/>
    <w:rsid w:val="0075052B"/>
    <w:rsid w:val="007508DC"/>
    <w:rsid w:val="007511F5"/>
    <w:rsid w:val="0075139B"/>
    <w:rsid w:val="0075145D"/>
    <w:rsid w:val="007517E4"/>
    <w:rsid w:val="00751B5A"/>
    <w:rsid w:val="00751B8B"/>
    <w:rsid w:val="00751BBF"/>
    <w:rsid w:val="00751D64"/>
    <w:rsid w:val="00751D97"/>
    <w:rsid w:val="00751DE1"/>
    <w:rsid w:val="00751F7F"/>
    <w:rsid w:val="007521AB"/>
    <w:rsid w:val="0075230D"/>
    <w:rsid w:val="00752344"/>
    <w:rsid w:val="007529FA"/>
    <w:rsid w:val="00752B29"/>
    <w:rsid w:val="00752D29"/>
    <w:rsid w:val="00752E65"/>
    <w:rsid w:val="00753014"/>
    <w:rsid w:val="007531BC"/>
    <w:rsid w:val="007535AB"/>
    <w:rsid w:val="007537C3"/>
    <w:rsid w:val="00753956"/>
    <w:rsid w:val="007539FE"/>
    <w:rsid w:val="00753BEE"/>
    <w:rsid w:val="0075413E"/>
    <w:rsid w:val="00754408"/>
    <w:rsid w:val="007544EC"/>
    <w:rsid w:val="0075468F"/>
    <w:rsid w:val="00754712"/>
    <w:rsid w:val="00754E9A"/>
    <w:rsid w:val="007555C8"/>
    <w:rsid w:val="00755A65"/>
    <w:rsid w:val="00755A73"/>
    <w:rsid w:val="00755B57"/>
    <w:rsid w:val="00755BE7"/>
    <w:rsid w:val="00755C64"/>
    <w:rsid w:val="00755CDA"/>
    <w:rsid w:val="007560C3"/>
    <w:rsid w:val="007560D8"/>
    <w:rsid w:val="0075622D"/>
    <w:rsid w:val="0075654F"/>
    <w:rsid w:val="0075655E"/>
    <w:rsid w:val="00756AC2"/>
    <w:rsid w:val="00756D52"/>
    <w:rsid w:val="00756E61"/>
    <w:rsid w:val="00756E69"/>
    <w:rsid w:val="00757138"/>
    <w:rsid w:val="0075723A"/>
    <w:rsid w:val="0075751B"/>
    <w:rsid w:val="0075756F"/>
    <w:rsid w:val="007577B0"/>
    <w:rsid w:val="007577B5"/>
    <w:rsid w:val="00757B27"/>
    <w:rsid w:val="00757BDB"/>
    <w:rsid w:val="00757D62"/>
    <w:rsid w:val="00757EE5"/>
    <w:rsid w:val="00760349"/>
    <w:rsid w:val="007605CA"/>
    <w:rsid w:val="007607EC"/>
    <w:rsid w:val="00760A3A"/>
    <w:rsid w:val="00760C7F"/>
    <w:rsid w:val="00760CEE"/>
    <w:rsid w:val="00760F04"/>
    <w:rsid w:val="007614ED"/>
    <w:rsid w:val="0076152D"/>
    <w:rsid w:val="007615B1"/>
    <w:rsid w:val="007615E9"/>
    <w:rsid w:val="007617F8"/>
    <w:rsid w:val="00761BD8"/>
    <w:rsid w:val="00761C4F"/>
    <w:rsid w:val="00761EAB"/>
    <w:rsid w:val="00761F2D"/>
    <w:rsid w:val="007621E0"/>
    <w:rsid w:val="00762966"/>
    <w:rsid w:val="007629E1"/>
    <w:rsid w:val="00762ACC"/>
    <w:rsid w:val="00762C3B"/>
    <w:rsid w:val="00762D2B"/>
    <w:rsid w:val="007634CE"/>
    <w:rsid w:val="007635A8"/>
    <w:rsid w:val="007635D8"/>
    <w:rsid w:val="00763643"/>
    <w:rsid w:val="00763A1A"/>
    <w:rsid w:val="00763C5C"/>
    <w:rsid w:val="00763CF6"/>
    <w:rsid w:val="00763D49"/>
    <w:rsid w:val="007640AD"/>
    <w:rsid w:val="00764140"/>
    <w:rsid w:val="007643B9"/>
    <w:rsid w:val="007645A0"/>
    <w:rsid w:val="00764B85"/>
    <w:rsid w:val="00764B9C"/>
    <w:rsid w:val="00764BCB"/>
    <w:rsid w:val="00764C96"/>
    <w:rsid w:val="00764D0F"/>
    <w:rsid w:val="00765081"/>
    <w:rsid w:val="007651B6"/>
    <w:rsid w:val="00765773"/>
    <w:rsid w:val="00765982"/>
    <w:rsid w:val="00765CDD"/>
    <w:rsid w:val="00765D5B"/>
    <w:rsid w:val="00765D7A"/>
    <w:rsid w:val="00765DF2"/>
    <w:rsid w:val="0076600E"/>
    <w:rsid w:val="00766046"/>
    <w:rsid w:val="007661FA"/>
    <w:rsid w:val="0076630B"/>
    <w:rsid w:val="00766345"/>
    <w:rsid w:val="00766359"/>
    <w:rsid w:val="00766424"/>
    <w:rsid w:val="007664D9"/>
    <w:rsid w:val="007664DC"/>
    <w:rsid w:val="0076657B"/>
    <w:rsid w:val="00766627"/>
    <w:rsid w:val="00766678"/>
    <w:rsid w:val="00766854"/>
    <w:rsid w:val="007668D2"/>
    <w:rsid w:val="00766B2C"/>
    <w:rsid w:val="00766D11"/>
    <w:rsid w:val="00767672"/>
    <w:rsid w:val="00767687"/>
    <w:rsid w:val="00767956"/>
    <w:rsid w:val="00767BA5"/>
    <w:rsid w:val="00767BAE"/>
    <w:rsid w:val="00767FEE"/>
    <w:rsid w:val="0077017B"/>
    <w:rsid w:val="007701BE"/>
    <w:rsid w:val="00770297"/>
    <w:rsid w:val="00770808"/>
    <w:rsid w:val="00770941"/>
    <w:rsid w:val="00770C25"/>
    <w:rsid w:val="00770E92"/>
    <w:rsid w:val="007711A9"/>
    <w:rsid w:val="007712B2"/>
    <w:rsid w:val="0077136C"/>
    <w:rsid w:val="00771534"/>
    <w:rsid w:val="00771A62"/>
    <w:rsid w:val="00771C8E"/>
    <w:rsid w:val="00771E5B"/>
    <w:rsid w:val="00772354"/>
    <w:rsid w:val="0077236F"/>
    <w:rsid w:val="0077279E"/>
    <w:rsid w:val="00772CF5"/>
    <w:rsid w:val="00772E6F"/>
    <w:rsid w:val="00773007"/>
    <w:rsid w:val="0077304F"/>
    <w:rsid w:val="0077384B"/>
    <w:rsid w:val="00773965"/>
    <w:rsid w:val="00773990"/>
    <w:rsid w:val="00773EBA"/>
    <w:rsid w:val="007741CD"/>
    <w:rsid w:val="0077443B"/>
    <w:rsid w:val="00774725"/>
    <w:rsid w:val="007748E6"/>
    <w:rsid w:val="00774D76"/>
    <w:rsid w:val="00774E8A"/>
    <w:rsid w:val="00774F13"/>
    <w:rsid w:val="00775099"/>
    <w:rsid w:val="007750EE"/>
    <w:rsid w:val="00775350"/>
    <w:rsid w:val="007754F2"/>
    <w:rsid w:val="007755D6"/>
    <w:rsid w:val="007756E8"/>
    <w:rsid w:val="00775AE6"/>
    <w:rsid w:val="00775AF4"/>
    <w:rsid w:val="00775BB0"/>
    <w:rsid w:val="00775D36"/>
    <w:rsid w:val="00775DA0"/>
    <w:rsid w:val="00775E25"/>
    <w:rsid w:val="007760B0"/>
    <w:rsid w:val="007760C2"/>
    <w:rsid w:val="007761B0"/>
    <w:rsid w:val="007763BA"/>
    <w:rsid w:val="007764B8"/>
    <w:rsid w:val="0077681F"/>
    <w:rsid w:val="00776C25"/>
    <w:rsid w:val="00776E20"/>
    <w:rsid w:val="0077742C"/>
    <w:rsid w:val="007775CC"/>
    <w:rsid w:val="0077761E"/>
    <w:rsid w:val="00777AB0"/>
    <w:rsid w:val="00777C4F"/>
    <w:rsid w:val="00777F15"/>
    <w:rsid w:val="0078017D"/>
    <w:rsid w:val="00780E2A"/>
    <w:rsid w:val="00780E73"/>
    <w:rsid w:val="00780FB3"/>
    <w:rsid w:val="007813FF"/>
    <w:rsid w:val="0078167C"/>
    <w:rsid w:val="0078257A"/>
    <w:rsid w:val="0078277B"/>
    <w:rsid w:val="00782869"/>
    <w:rsid w:val="007828E2"/>
    <w:rsid w:val="00782CDB"/>
    <w:rsid w:val="00782F9A"/>
    <w:rsid w:val="00782FE4"/>
    <w:rsid w:val="00783419"/>
    <w:rsid w:val="007836B6"/>
    <w:rsid w:val="0078399D"/>
    <w:rsid w:val="00783A04"/>
    <w:rsid w:val="00783AC6"/>
    <w:rsid w:val="00783CE1"/>
    <w:rsid w:val="00783E22"/>
    <w:rsid w:val="00784026"/>
    <w:rsid w:val="0078460F"/>
    <w:rsid w:val="00784719"/>
    <w:rsid w:val="00784ABD"/>
    <w:rsid w:val="00784B45"/>
    <w:rsid w:val="007850E9"/>
    <w:rsid w:val="0078537C"/>
    <w:rsid w:val="007857F0"/>
    <w:rsid w:val="00785A03"/>
    <w:rsid w:val="00785BF2"/>
    <w:rsid w:val="00785D12"/>
    <w:rsid w:val="00785D3E"/>
    <w:rsid w:val="00785ED2"/>
    <w:rsid w:val="00786D5A"/>
    <w:rsid w:val="007874E6"/>
    <w:rsid w:val="007877B5"/>
    <w:rsid w:val="007878DC"/>
    <w:rsid w:val="00787A16"/>
    <w:rsid w:val="00787DBD"/>
    <w:rsid w:val="007902AE"/>
    <w:rsid w:val="007902C6"/>
    <w:rsid w:val="0079069A"/>
    <w:rsid w:val="00790D68"/>
    <w:rsid w:val="0079108A"/>
    <w:rsid w:val="007910E4"/>
    <w:rsid w:val="00791327"/>
    <w:rsid w:val="007916D6"/>
    <w:rsid w:val="0079180B"/>
    <w:rsid w:val="007918F1"/>
    <w:rsid w:val="00791C09"/>
    <w:rsid w:val="0079269B"/>
    <w:rsid w:val="00792D81"/>
    <w:rsid w:val="007931CA"/>
    <w:rsid w:val="0079336F"/>
    <w:rsid w:val="007933FA"/>
    <w:rsid w:val="007934AF"/>
    <w:rsid w:val="007938C0"/>
    <w:rsid w:val="00793946"/>
    <w:rsid w:val="00793BDF"/>
    <w:rsid w:val="00793E1C"/>
    <w:rsid w:val="00794509"/>
    <w:rsid w:val="00794661"/>
    <w:rsid w:val="00794708"/>
    <w:rsid w:val="0079474E"/>
    <w:rsid w:val="00794888"/>
    <w:rsid w:val="007948DF"/>
    <w:rsid w:val="00794BCA"/>
    <w:rsid w:val="00794C58"/>
    <w:rsid w:val="00794D09"/>
    <w:rsid w:val="007950ED"/>
    <w:rsid w:val="007951A6"/>
    <w:rsid w:val="00795648"/>
    <w:rsid w:val="00795667"/>
    <w:rsid w:val="0079571A"/>
    <w:rsid w:val="00795728"/>
    <w:rsid w:val="00795872"/>
    <w:rsid w:val="00795C06"/>
    <w:rsid w:val="00795C5B"/>
    <w:rsid w:val="007960FE"/>
    <w:rsid w:val="007963B7"/>
    <w:rsid w:val="00796459"/>
    <w:rsid w:val="00796DDE"/>
    <w:rsid w:val="0079700B"/>
    <w:rsid w:val="00797258"/>
    <w:rsid w:val="007972A0"/>
    <w:rsid w:val="0079747E"/>
    <w:rsid w:val="007976E1"/>
    <w:rsid w:val="00797802"/>
    <w:rsid w:val="00797868"/>
    <w:rsid w:val="00797F86"/>
    <w:rsid w:val="007A01A0"/>
    <w:rsid w:val="007A0275"/>
    <w:rsid w:val="007A087D"/>
    <w:rsid w:val="007A0B0F"/>
    <w:rsid w:val="007A0B4F"/>
    <w:rsid w:val="007A0DA4"/>
    <w:rsid w:val="007A0F83"/>
    <w:rsid w:val="007A158D"/>
    <w:rsid w:val="007A1AEB"/>
    <w:rsid w:val="007A1B32"/>
    <w:rsid w:val="007A2398"/>
    <w:rsid w:val="007A2586"/>
    <w:rsid w:val="007A2638"/>
    <w:rsid w:val="007A266F"/>
    <w:rsid w:val="007A2E57"/>
    <w:rsid w:val="007A2FC0"/>
    <w:rsid w:val="007A31B5"/>
    <w:rsid w:val="007A32BB"/>
    <w:rsid w:val="007A3530"/>
    <w:rsid w:val="007A415A"/>
    <w:rsid w:val="007A44AC"/>
    <w:rsid w:val="007A4A1E"/>
    <w:rsid w:val="007A4DEE"/>
    <w:rsid w:val="007A4E58"/>
    <w:rsid w:val="007A4ECE"/>
    <w:rsid w:val="007A522B"/>
    <w:rsid w:val="007A52B1"/>
    <w:rsid w:val="007A5465"/>
    <w:rsid w:val="007A5A1F"/>
    <w:rsid w:val="007A5B90"/>
    <w:rsid w:val="007A5ED1"/>
    <w:rsid w:val="007A6F53"/>
    <w:rsid w:val="007A72A8"/>
    <w:rsid w:val="007A768D"/>
    <w:rsid w:val="007A775B"/>
    <w:rsid w:val="007A79A4"/>
    <w:rsid w:val="007A7BED"/>
    <w:rsid w:val="007B00E2"/>
    <w:rsid w:val="007B025E"/>
    <w:rsid w:val="007B06FD"/>
    <w:rsid w:val="007B0753"/>
    <w:rsid w:val="007B0DD4"/>
    <w:rsid w:val="007B119E"/>
    <w:rsid w:val="007B11D0"/>
    <w:rsid w:val="007B125A"/>
    <w:rsid w:val="007B1403"/>
    <w:rsid w:val="007B1AD9"/>
    <w:rsid w:val="007B2423"/>
    <w:rsid w:val="007B2621"/>
    <w:rsid w:val="007B2AF5"/>
    <w:rsid w:val="007B2D6A"/>
    <w:rsid w:val="007B2DCE"/>
    <w:rsid w:val="007B2DD4"/>
    <w:rsid w:val="007B2FA4"/>
    <w:rsid w:val="007B37C0"/>
    <w:rsid w:val="007B3A2C"/>
    <w:rsid w:val="007B3A3A"/>
    <w:rsid w:val="007B4018"/>
    <w:rsid w:val="007B424A"/>
    <w:rsid w:val="007B4405"/>
    <w:rsid w:val="007B451A"/>
    <w:rsid w:val="007B485C"/>
    <w:rsid w:val="007B4C51"/>
    <w:rsid w:val="007B4D6E"/>
    <w:rsid w:val="007B5292"/>
    <w:rsid w:val="007B52E1"/>
    <w:rsid w:val="007B5330"/>
    <w:rsid w:val="007B565A"/>
    <w:rsid w:val="007B5A45"/>
    <w:rsid w:val="007B5A6D"/>
    <w:rsid w:val="007B5C8C"/>
    <w:rsid w:val="007B60B0"/>
    <w:rsid w:val="007B6534"/>
    <w:rsid w:val="007B6542"/>
    <w:rsid w:val="007B6B75"/>
    <w:rsid w:val="007B6C39"/>
    <w:rsid w:val="007B7729"/>
    <w:rsid w:val="007B7BCE"/>
    <w:rsid w:val="007B7DB6"/>
    <w:rsid w:val="007B7F2D"/>
    <w:rsid w:val="007C00DE"/>
    <w:rsid w:val="007C0204"/>
    <w:rsid w:val="007C0381"/>
    <w:rsid w:val="007C08DD"/>
    <w:rsid w:val="007C0915"/>
    <w:rsid w:val="007C0931"/>
    <w:rsid w:val="007C0C65"/>
    <w:rsid w:val="007C0D9E"/>
    <w:rsid w:val="007C0E1E"/>
    <w:rsid w:val="007C1437"/>
    <w:rsid w:val="007C15AF"/>
    <w:rsid w:val="007C18A0"/>
    <w:rsid w:val="007C1A1C"/>
    <w:rsid w:val="007C1A22"/>
    <w:rsid w:val="007C1DBB"/>
    <w:rsid w:val="007C2690"/>
    <w:rsid w:val="007C2918"/>
    <w:rsid w:val="007C2CEC"/>
    <w:rsid w:val="007C2D6F"/>
    <w:rsid w:val="007C3226"/>
    <w:rsid w:val="007C3627"/>
    <w:rsid w:val="007C37F9"/>
    <w:rsid w:val="007C3BB4"/>
    <w:rsid w:val="007C3D6A"/>
    <w:rsid w:val="007C3F45"/>
    <w:rsid w:val="007C4039"/>
    <w:rsid w:val="007C43C9"/>
    <w:rsid w:val="007C4579"/>
    <w:rsid w:val="007C4706"/>
    <w:rsid w:val="007C47D5"/>
    <w:rsid w:val="007C4AA7"/>
    <w:rsid w:val="007C5236"/>
    <w:rsid w:val="007C57C4"/>
    <w:rsid w:val="007C59CC"/>
    <w:rsid w:val="007C5A7B"/>
    <w:rsid w:val="007C5C09"/>
    <w:rsid w:val="007C5E90"/>
    <w:rsid w:val="007C6038"/>
    <w:rsid w:val="007C64AE"/>
    <w:rsid w:val="007C653C"/>
    <w:rsid w:val="007C6897"/>
    <w:rsid w:val="007C77A7"/>
    <w:rsid w:val="007C784F"/>
    <w:rsid w:val="007C79A4"/>
    <w:rsid w:val="007C79CC"/>
    <w:rsid w:val="007C79FD"/>
    <w:rsid w:val="007C7C86"/>
    <w:rsid w:val="007C7E45"/>
    <w:rsid w:val="007D013E"/>
    <w:rsid w:val="007D029E"/>
    <w:rsid w:val="007D0656"/>
    <w:rsid w:val="007D08F9"/>
    <w:rsid w:val="007D0B5C"/>
    <w:rsid w:val="007D0DD7"/>
    <w:rsid w:val="007D0EEE"/>
    <w:rsid w:val="007D0F96"/>
    <w:rsid w:val="007D19B8"/>
    <w:rsid w:val="007D1D77"/>
    <w:rsid w:val="007D1F15"/>
    <w:rsid w:val="007D2098"/>
    <w:rsid w:val="007D2208"/>
    <w:rsid w:val="007D225E"/>
    <w:rsid w:val="007D2446"/>
    <w:rsid w:val="007D2976"/>
    <w:rsid w:val="007D2B24"/>
    <w:rsid w:val="007D3396"/>
    <w:rsid w:val="007D3598"/>
    <w:rsid w:val="007D3764"/>
    <w:rsid w:val="007D3AC9"/>
    <w:rsid w:val="007D3E7C"/>
    <w:rsid w:val="007D4338"/>
    <w:rsid w:val="007D4527"/>
    <w:rsid w:val="007D463C"/>
    <w:rsid w:val="007D4683"/>
    <w:rsid w:val="007D46D6"/>
    <w:rsid w:val="007D48E2"/>
    <w:rsid w:val="007D4AA9"/>
    <w:rsid w:val="007D4ACD"/>
    <w:rsid w:val="007D513A"/>
    <w:rsid w:val="007D572A"/>
    <w:rsid w:val="007D59D5"/>
    <w:rsid w:val="007D5BCC"/>
    <w:rsid w:val="007D5CBD"/>
    <w:rsid w:val="007D5F2D"/>
    <w:rsid w:val="007D604C"/>
    <w:rsid w:val="007D61EB"/>
    <w:rsid w:val="007D6221"/>
    <w:rsid w:val="007D64BA"/>
    <w:rsid w:val="007D653F"/>
    <w:rsid w:val="007D6873"/>
    <w:rsid w:val="007D68B6"/>
    <w:rsid w:val="007D6E3B"/>
    <w:rsid w:val="007D70C1"/>
    <w:rsid w:val="007D71F2"/>
    <w:rsid w:val="007D745B"/>
    <w:rsid w:val="007D75B4"/>
    <w:rsid w:val="007D7BC3"/>
    <w:rsid w:val="007E010F"/>
    <w:rsid w:val="007E043D"/>
    <w:rsid w:val="007E09DD"/>
    <w:rsid w:val="007E0A49"/>
    <w:rsid w:val="007E0B11"/>
    <w:rsid w:val="007E0C74"/>
    <w:rsid w:val="007E0D14"/>
    <w:rsid w:val="007E14C5"/>
    <w:rsid w:val="007E1B0C"/>
    <w:rsid w:val="007E1B6D"/>
    <w:rsid w:val="007E1DF3"/>
    <w:rsid w:val="007E22AF"/>
    <w:rsid w:val="007E233D"/>
    <w:rsid w:val="007E26A1"/>
    <w:rsid w:val="007E2D09"/>
    <w:rsid w:val="007E2FDE"/>
    <w:rsid w:val="007E2FED"/>
    <w:rsid w:val="007E33C4"/>
    <w:rsid w:val="007E3447"/>
    <w:rsid w:val="007E34B0"/>
    <w:rsid w:val="007E390E"/>
    <w:rsid w:val="007E3A94"/>
    <w:rsid w:val="007E3D86"/>
    <w:rsid w:val="007E3FD8"/>
    <w:rsid w:val="007E4036"/>
    <w:rsid w:val="007E40B6"/>
    <w:rsid w:val="007E40D4"/>
    <w:rsid w:val="007E43CE"/>
    <w:rsid w:val="007E48D2"/>
    <w:rsid w:val="007E4B54"/>
    <w:rsid w:val="007E5516"/>
    <w:rsid w:val="007E5534"/>
    <w:rsid w:val="007E5D28"/>
    <w:rsid w:val="007E5FB9"/>
    <w:rsid w:val="007E6022"/>
    <w:rsid w:val="007E6689"/>
    <w:rsid w:val="007E6785"/>
    <w:rsid w:val="007E688C"/>
    <w:rsid w:val="007E6A9A"/>
    <w:rsid w:val="007E6B42"/>
    <w:rsid w:val="007E6D59"/>
    <w:rsid w:val="007E6DB4"/>
    <w:rsid w:val="007E6EB3"/>
    <w:rsid w:val="007E70C1"/>
    <w:rsid w:val="007E7339"/>
    <w:rsid w:val="007E74EB"/>
    <w:rsid w:val="007E7636"/>
    <w:rsid w:val="007E77FC"/>
    <w:rsid w:val="007E78EF"/>
    <w:rsid w:val="007E79F3"/>
    <w:rsid w:val="007E7A1D"/>
    <w:rsid w:val="007E7B06"/>
    <w:rsid w:val="007E7BD2"/>
    <w:rsid w:val="007E7DDF"/>
    <w:rsid w:val="007E7E32"/>
    <w:rsid w:val="007F0077"/>
    <w:rsid w:val="007F02C8"/>
    <w:rsid w:val="007F04AC"/>
    <w:rsid w:val="007F06F2"/>
    <w:rsid w:val="007F0719"/>
    <w:rsid w:val="007F08BD"/>
    <w:rsid w:val="007F08EF"/>
    <w:rsid w:val="007F0982"/>
    <w:rsid w:val="007F0A3C"/>
    <w:rsid w:val="007F0D0D"/>
    <w:rsid w:val="007F0F93"/>
    <w:rsid w:val="007F1009"/>
    <w:rsid w:val="007F13A3"/>
    <w:rsid w:val="007F1728"/>
    <w:rsid w:val="007F189E"/>
    <w:rsid w:val="007F1938"/>
    <w:rsid w:val="007F1B76"/>
    <w:rsid w:val="007F24A2"/>
    <w:rsid w:val="007F270B"/>
    <w:rsid w:val="007F2A07"/>
    <w:rsid w:val="007F2B6A"/>
    <w:rsid w:val="007F2DF5"/>
    <w:rsid w:val="007F2E21"/>
    <w:rsid w:val="007F307D"/>
    <w:rsid w:val="007F3373"/>
    <w:rsid w:val="007F3459"/>
    <w:rsid w:val="007F39A6"/>
    <w:rsid w:val="007F3B3B"/>
    <w:rsid w:val="007F3D64"/>
    <w:rsid w:val="007F40EF"/>
    <w:rsid w:val="007F4541"/>
    <w:rsid w:val="007F4EDA"/>
    <w:rsid w:val="007F51EF"/>
    <w:rsid w:val="007F557F"/>
    <w:rsid w:val="007F56A4"/>
    <w:rsid w:val="007F5762"/>
    <w:rsid w:val="007F58D0"/>
    <w:rsid w:val="007F59D0"/>
    <w:rsid w:val="007F5BF5"/>
    <w:rsid w:val="007F60B5"/>
    <w:rsid w:val="007F6253"/>
    <w:rsid w:val="007F6495"/>
    <w:rsid w:val="007F6A5B"/>
    <w:rsid w:val="007F6A77"/>
    <w:rsid w:val="007F6AE7"/>
    <w:rsid w:val="007F6BAC"/>
    <w:rsid w:val="007F6EEB"/>
    <w:rsid w:val="007F6F9D"/>
    <w:rsid w:val="007F7155"/>
    <w:rsid w:val="007F7793"/>
    <w:rsid w:val="007F7B06"/>
    <w:rsid w:val="00800345"/>
    <w:rsid w:val="00800607"/>
    <w:rsid w:val="008006D9"/>
    <w:rsid w:val="0080090A"/>
    <w:rsid w:val="008009C1"/>
    <w:rsid w:val="00800B0F"/>
    <w:rsid w:val="00800DFC"/>
    <w:rsid w:val="008011A8"/>
    <w:rsid w:val="00801331"/>
    <w:rsid w:val="008018DF"/>
    <w:rsid w:val="00802155"/>
    <w:rsid w:val="0080217C"/>
    <w:rsid w:val="0080237C"/>
    <w:rsid w:val="00802497"/>
    <w:rsid w:val="008028D9"/>
    <w:rsid w:val="00802AC9"/>
    <w:rsid w:val="00802DB0"/>
    <w:rsid w:val="00803166"/>
    <w:rsid w:val="00803357"/>
    <w:rsid w:val="00803404"/>
    <w:rsid w:val="00803684"/>
    <w:rsid w:val="00803B22"/>
    <w:rsid w:val="00803C1B"/>
    <w:rsid w:val="00803CA6"/>
    <w:rsid w:val="00803D97"/>
    <w:rsid w:val="0080405F"/>
    <w:rsid w:val="0080432D"/>
    <w:rsid w:val="0080442B"/>
    <w:rsid w:val="008044BF"/>
    <w:rsid w:val="008044EF"/>
    <w:rsid w:val="00804886"/>
    <w:rsid w:val="00804DD7"/>
    <w:rsid w:val="00804FF4"/>
    <w:rsid w:val="0080507E"/>
    <w:rsid w:val="008051A7"/>
    <w:rsid w:val="008052C5"/>
    <w:rsid w:val="00805433"/>
    <w:rsid w:val="00805829"/>
    <w:rsid w:val="00805830"/>
    <w:rsid w:val="00805AC2"/>
    <w:rsid w:val="00805B30"/>
    <w:rsid w:val="00805C98"/>
    <w:rsid w:val="00805C99"/>
    <w:rsid w:val="00805D76"/>
    <w:rsid w:val="00805FE6"/>
    <w:rsid w:val="0080615E"/>
    <w:rsid w:val="00806591"/>
    <w:rsid w:val="00806A86"/>
    <w:rsid w:val="00806B75"/>
    <w:rsid w:val="00806BAD"/>
    <w:rsid w:val="00807037"/>
    <w:rsid w:val="00807177"/>
    <w:rsid w:val="0080739B"/>
    <w:rsid w:val="0080765B"/>
    <w:rsid w:val="00807A93"/>
    <w:rsid w:val="00807C77"/>
    <w:rsid w:val="00807D87"/>
    <w:rsid w:val="008101CA"/>
    <w:rsid w:val="008102B8"/>
    <w:rsid w:val="008102EA"/>
    <w:rsid w:val="00810318"/>
    <w:rsid w:val="008106FB"/>
    <w:rsid w:val="00810775"/>
    <w:rsid w:val="00810A1E"/>
    <w:rsid w:val="00810A62"/>
    <w:rsid w:val="0081120C"/>
    <w:rsid w:val="00811278"/>
    <w:rsid w:val="00811479"/>
    <w:rsid w:val="00812537"/>
    <w:rsid w:val="008125D4"/>
    <w:rsid w:val="00812A1C"/>
    <w:rsid w:val="00812B13"/>
    <w:rsid w:val="00812BAD"/>
    <w:rsid w:val="00812DFF"/>
    <w:rsid w:val="00812E0E"/>
    <w:rsid w:val="00812E35"/>
    <w:rsid w:val="00813034"/>
    <w:rsid w:val="0081305C"/>
    <w:rsid w:val="00813218"/>
    <w:rsid w:val="0081331B"/>
    <w:rsid w:val="0081343E"/>
    <w:rsid w:val="008134AF"/>
    <w:rsid w:val="008137B1"/>
    <w:rsid w:val="00813AD8"/>
    <w:rsid w:val="00813C3A"/>
    <w:rsid w:val="00813FB5"/>
    <w:rsid w:val="008143D7"/>
    <w:rsid w:val="00814654"/>
    <w:rsid w:val="008149A9"/>
    <w:rsid w:val="00814ABC"/>
    <w:rsid w:val="00814C41"/>
    <w:rsid w:val="00814C71"/>
    <w:rsid w:val="00814F0F"/>
    <w:rsid w:val="00814F81"/>
    <w:rsid w:val="00815199"/>
    <w:rsid w:val="0081519A"/>
    <w:rsid w:val="00815293"/>
    <w:rsid w:val="008156E1"/>
    <w:rsid w:val="00815769"/>
    <w:rsid w:val="00815845"/>
    <w:rsid w:val="00815AAC"/>
    <w:rsid w:val="00815C15"/>
    <w:rsid w:val="00815D1D"/>
    <w:rsid w:val="00815DF5"/>
    <w:rsid w:val="00815E25"/>
    <w:rsid w:val="00815E61"/>
    <w:rsid w:val="00815FDA"/>
    <w:rsid w:val="00816329"/>
    <w:rsid w:val="008163E1"/>
    <w:rsid w:val="008165A7"/>
    <w:rsid w:val="00816612"/>
    <w:rsid w:val="0081679B"/>
    <w:rsid w:val="00816860"/>
    <w:rsid w:val="008168E3"/>
    <w:rsid w:val="00816A08"/>
    <w:rsid w:val="00817212"/>
    <w:rsid w:val="00817253"/>
    <w:rsid w:val="0081743F"/>
    <w:rsid w:val="0081769A"/>
    <w:rsid w:val="008177BD"/>
    <w:rsid w:val="00817BAC"/>
    <w:rsid w:val="00817C3A"/>
    <w:rsid w:val="00817D15"/>
    <w:rsid w:val="00817F21"/>
    <w:rsid w:val="00817FF8"/>
    <w:rsid w:val="0081D646"/>
    <w:rsid w:val="00820148"/>
    <w:rsid w:val="008201F2"/>
    <w:rsid w:val="00820254"/>
    <w:rsid w:val="008205B6"/>
    <w:rsid w:val="008205C1"/>
    <w:rsid w:val="0082079C"/>
    <w:rsid w:val="00820B8A"/>
    <w:rsid w:val="00820ECF"/>
    <w:rsid w:val="008211A3"/>
    <w:rsid w:val="008211AA"/>
    <w:rsid w:val="008216DA"/>
    <w:rsid w:val="00821BF4"/>
    <w:rsid w:val="00821CBC"/>
    <w:rsid w:val="00821D9D"/>
    <w:rsid w:val="00821FF3"/>
    <w:rsid w:val="00822074"/>
    <w:rsid w:val="008227BF"/>
    <w:rsid w:val="00822EC2"/>
    <w:rsid w:val="00822FE0"/>
    <w:rsid w:val="00822FE4"/>
    <w:rsid w:val="0082304D"/>
    <w:rsid w:val="00823281"/>
    <w:rsid w:val="008233CC"/>
    <w:rsid w:val="00823679"/>
    <w:rsid w:val="008239CA"/>
    <w:rsid w:val="00823AC8"/>
    <w:rsid w:val="0082432A"/>
    <w:rsid w:val="008244AA"/>
    <w:rsid w:val="008244C1"/>
    <w:rsid w:val="008246B2"/>
    <w:rsid w:val="00824AE6"/>
    <w:rsid w:val="00824CB0"/>
    <w:rsid w:val="00824CD0"/>
    <w:rsid w:val="008251BE"/>
    <w:rsid w:val="008251CD"/>
    <w:rsid w:val="008254F0"/>
    <w:rsid w:val="008254FF"/>
    <w:rsid w:val="00825510"/>
    <w:rsid w:val="00825614"/>
    <w:rsid w:val="008257B4"/>
    <w:rsid w:val="00825CE3"/>
    <w:rsid w:val="00825E59"/>
    <w:rsid w:val="00826065"/>
    <w:rsid w:val="0082663D"/>
    <w:rsid w:val="0082696F"/>
    <w:rsid w:val="00826D0F"/>
    <w:rsid w:val="00826DF2"/>
    <w:rsid w:val="00826F51"/>
    <w:rsid w:val="0082705A"/>
    <w:rsid w:val="008273DF"/>
    <w:rsid w:val="0082742F"/>
    <w:rsid w:val="00827728"/>
    <w:rsid w:val="00827AB2"/>
    <w:rsid w:val="00827BA7"/>
    <w:rsid w:val="00827C09"/>
    <w:rsid w:val="00827D96"/>
    <w:rsid w:val="00827E2D"/>
    <w:rsid w:val="00827ECB"/>
    <w:rsid w:val="00827F07"/>
    <w:rsid w:val="0083052E"/>
    <w:rsid w:val="008305C7"/>
    <w:rsid w:val="0083086C"/>
    <w:rsid w:val="00830E86"/>
    <w:rsid w:val="008311CC"/>
    <w:rsid w:val="0083131D"/>
    <w:rsid w:val="00831C61"/>
    <w:rsid w:val="0083208C"/>
    <w:rsid w:val="00832170"/>
    <w:rsid w:val="00832405"/>
    <w:rsid w:val="008325F7"/>
    <w:rsid w:val="0083268C"/>
    <w:rsid w:val="00832696"/>
    <w:rsid w:val="00832E15"/>
    <w:rsid w:val="00832FEB"/>
    <w:rsid w:val="00833358"/>
    <w:rsid w:val="00833904"/>
    <w:rsid w:val="00833A78"/>
    <w:rsid w:val="00834745"/>
    <w:rsid w:val="00834882"/>
    <w:rsid w:val="00834884"/>
    <w:rsid w:val="00834A59"/>
    <w:rsid w:val="00834B7C"/>
    <w:rsid w:val="00834BD9"/>
    <w:rsid w:val="00834FB7"/>
    <w:rsid w:val="00835230"/>
    <w:rsid w:val="00835659"/>
    <w:rsid w:val="008358BB"/>
    <w:rsid w:val="00835995"/>
    <w:rsid w:val="00835F07"/>
    <w:rsid w:val="0083627C"/>
    <w:rsid w:val="008366DA"/>
    <w:rsid w:val="0083672B"/>
    <w:rsid w:val="0083677D"/>
    <w:rsid w:val="00836A58"/>
    <w:rsid w:val="00836D1F"/>
    <w:rsid w:val="00836D56"/>
    <w:rsid w:val="00836D92"/>
    <w:rsid w:val="00837113"/>
    <w:rsid w:val="008373E7"/>
    <w:rsid w:val="00837774"/>
    <w:rsid w:val="00837C6B"/>
    <w:rsid w:val="008401B8"/>
    <w:rsid w:val="008401C1"/>
    <w:rsid w:val="0084066D"/>
    <w:rsid w:val="00840CEB"/>
    <w:rsid w:val="00841697"/>
    <w:rsid w:val="00841C1A"/>
    <w:rsid w:val="00841D27"/>
    <w:rsid w:val="00842113"/>
    <w:rsid w:val="00842194"/>
    <w:rsid w:val="00842919"/>
    <w:rsid w:val="00842947"/>
    <w:rsid w:val="008429F6"/>
    <w:rsid w:val="00842A81"/>
    <w:rsid w:val="00842B89"/>
    <w:rsid w:val="00842DC4"/>
    <w:rsid w:val="00842DC6"/>
    <w:rsid w:val="0084318D"/>
    <w:rsid w:val="00843237"/>
    <w:rsid w:val="00843468"/>
    <w:rsid w:val="0084348E"/>
    <w:rsid w:val="00843511"/>
    <w:rsid w:val="008441A1"/>
    <w:rsid w:val="00844386"/>
    <w:rsid w:val="008443EB"/>
    <w:rsid w:val="008444F7"/>
    <w:rsid w:val="00844D19"/>
    <w:rsid w:val="00844D98"/>
    <w:rsid w:val="00844E17"/>
    <w:rsid w:val="00844E83"/>
    <w:rsid w:val="00844EA1"/>
    <w:rsid w:val="00844F4E"/>
    <w:rsid w:val="00845185"/>
    <w:rsid w:val="008457E6"/>
    <w:rsid w:val="00845949"/>
    <w:rsid w:val="008459CB"/>
    <w:rsid w:val="00846243"/>
    <w:rsid w:val="00846325"/>
    <w:rsid w:val="00846439"/>
    <w:rsid w:val="0084646E"/>
    <w:rsid w:val="00846506"/>
    <w:rsid w:val="0084661F"/>
    <w:rsid w:val="00846D6D"/>
    <w:rsid w:val="00846E0E"/>
    <w:rsid w:val="00846E30"/>
    <w:rsid w:val="00846FC8"/>
    <w:rsid w:val="008473AB"/>
    <w:rsid w:val="008473BB"/>
    <w:rsid w:val="00847705"/>
    <w:rsid w:val="0084C507"/>
    <w:rsid w:val="008503D3"/>
    <w:rsid w:val="008503F3"/>
    <w:rsid w:val="00850B7A"/>
    <w:rsid w:val="00850CBA"/>
    <w:rsid w:val="00850EF2"/>
    <w:rsid w:val="0085148F"/>
    <w:rsid w:val="008517DD"/>
    <w:rsid w:val="0085184F"/>
    <w:rsid w:val="00851A58"/>
    <w:rsid w:val="00851C25"/>
    <w:rsid w:val="00851CFA"/>
    <w:rsid w:val="00851D41"/>
    <w:rsid w:val="00852514"/>
    <w:rsid w:val="00852722"/>
    <w:rsid w:val="00852797"/>
    <w:rsid w:val="00852B51"/>
    <w:rsid w:val="00852D2A"/>
    <w:rsid w:val="00852F27"/>
    <w:rsid w:val="008532C8"/>
    <w:rsid w:val="008532EF"/>
    <w:rsid w:val="008532F9"/>
    <w:rsid w:val="008536D1"/>
    <w:rsid w:val="00853FDD"/>
    <w:rsid w:val="00854717"/>
    <w:rsid w:val="00854A39"/>
    <w:rsid w:val="00854BD6"/>
    <w:rsid w:val="00854D7E"/>
    <w:rsid w:val="00854DF5"/>
    <w:rsid w:val="0085572F"/>
    <w:rsid w:val="008558C5"/>
    <w:rsid w:val="008558D3"/>
    <w:rsid w:val="00855FFD"/>
    <w:rsid w:val="008560E8"/>
    <w:rsid w:val="00856363"/>
    <w:rsid w:val="0085637F"/>
    <w:rsid w:val="008564B1"/>
    <w:rsid w:val="00856788"/>
    <w:rsid w:val="00856AC8"/>
    <w:rsid w:val="00856CCC"/>
    <w:rsid w:val="00856CF5"/>
    <w:rsid w:val="00856E0C"/>
    <w:rsid w:val="00856EEF"/>
    <w:rsid w:val="0085732E"/>
    <w:rsid w:val="0085748A"/>
    <w:rsid w:val="00857573"/>
    <w:rsid w:val="008575C6"/>
    <w:rsid w:val="0085763D"/>
    <w:rsid w:val="008578F9"/>
    <w:rsid w:val="00857A86"/>
    <w:rsid w:val="00857AA0"/>
    <w:rsid w:val="00860034"/>
    <w:rsid w:val="008600C0"/>
    <w:rsid w:val="0086014F"/>
    <w:rsid w:val="008603C4"/>
    <w:rsid w:val="0086054D"/>
    <w:rsid w:val="008609A5"/>
    <w:rsid w:val="00860AB7"/>
    <w:rsid w:val="00861143"/>
    <w:rsid w:val="00861354"/>
    <w:rsid w:val="00861446"/>
    <w:rsid w:val="008615CA"/>
    <w:rsid w:val="00861BBE"/>
    <w:rsid w:val="00861D58"/>
    <w:rsid w:val="008620B2"/>
    <w:rsid w:val="0086222B"/>
    <w:rsid w:val="008623ED"/>
    <w:rsid w:val="008623F2"/>
    <w:rsid w:val="00862726"/>
    <w:rsid w:val="008628E4"/>
    <w:rsid w:val="00863400"/>
    <w:rsid w:val="00863574"/>
    <w:rsid w:val="00863597"/>
    <w:rsid w:val="008637EF"/>
    <w:rsid w:val="00863AAA"/>
    <w:rsid w:val="00863F86"/>
    <w:rsid w:val="0086403F"/>
    <w:rsid w:val="008642BC"/>
    <w:rsid w:val="0086455B"/>
    <w:rsid w:val="008646EB"/>
    <w:rsid w:val="00864831"/>
    <w:rsid w:val="008649B6"/>
    <w:rsid w:val="00864CDC"/>
    <w:rsid w:val="00864E30"/>
    <w:rsid w:val="00865363"/>
    <w:rsid w:val="0086555F"/>
    <w:rsid w:val="00865643"/>
    <w:rsid w:val="00865B9C"/>
    <w:rsid w:val="00865F76"/>
    <w:rsid w:val="00865FD6"/>
    <w:rsid w:val="008661B1"/>
    <w:rsid w:val="008662C6"/>
    <w:rsid w:val="008665B6"/>
    <w:rsid w:val="0086675D"/>
    <w:rsid w:val="00866A59"/>
    <w:rsid w:val="00866FEC"/>
    <w:rsid w:val="008670FE"/>
    <w:rsid w:val="00867454"/>
    <w:rsid w:val="0086745D"/>
    <w:rsid w:val="008676D7"/>
    <w:rsid w:val="008677F4"/>
    <w:rsid w:val="00867ECE"/>
    <w:rsid w:val="00867F28"/>
    <w:rsid w:val="008704E6"/>
    <w:rsid w:val="00870510"/>
    <w:rsid w:val="00870B04"/>
    <w:rsid w:val="00870E98"/>
    <w:rsid w:val="00871045"/>
    <w:rsid w:val="0087113A"/>
    <w:rsid w:val="008711FB"/>
    <w:rsid w:val="00871309"/>
    <w:rsid w:val="008714A8"/>
    <w:rsid w:val="008718B9"/>
    <w:rsid w:val="00871E29"/>
    <w:rsid w:val="00871EFB"/>
    <w:rsid w:val="00872AFF"/>
    <w:rsid w:val="00872B64"/>
    <w:rsid w:val="00872BF3"/>
    <w:rsid w:val="00872E1D"/>
    <w:rsid w:val="00872E48"/>
    <w:rsid w:val="0087310D"/>
    <w:rsid w:val="008731B7"/>
    <w:rsid w:val="0087344C"/>
    <w:rsid w:val="008734A7"/>
    <w:rsid w:val="00873912"/>
    <w:rsid w:val="00873CAD"/>
    <w:rsid w:val="00873D49"/>
    <w:rsid w:val="00874149"/>
    <w:rsid w:val="0087435E"/>
    <w:rsid w:val="00874A8D"/>
    <w:rsid w:val="00874DFD"/>
    <w:rsid w:val="00875479"/>
    <w:rsid w:val="008756FD"/>
    <w:rsid w:val="00875753"/>
    <w:rsid w:val="00875774"/>
    <w:rsid w:val="00875B58"/>
    <w:rsid w:val="00875D6C"/>
    <w:rsid w:val="00875DCF"/>
    <w:rsid w:val="00875EA5"/>
    <w:rsid w:val="00876091"/>
    <w:rsid w:val="008761FD"/>
    <w:rsid w:val="008765C7"/>
    <w:rsid w:val="008765D6"/>
    <w:rsid w:val="0087701D"/>
    <w:rsid w:val="00877639"/>
    <w:rsid w:val="00877931"/>
    <w:rsid w:val="00877A1B"/>
    <w:rsid w:val="00877A57"/>
    <w:rsid w:val="00880006"/>
    <w:rsid w:val="008804C3"/>
    <w:rsid w:val="008806C4"/>
    <w:rsid w:val="008807AC"/>
    <w:rsid w:val="008807B1"/>
    <w:rsid w:val="00880D42"/>
    <w:rsid w:val="00880E19"/>
    <w:rsid w:val="00880E2F"/>
    <w:rsid w:val="0088124D"/>
    <w:rsid w:val="008814E5"/>
    <w:rsid w:val="00881C98"/>
    <w:rsid w:val="00881F18"/>
    <w:rsid w:val="00882754"/>
    <w:rsid w:val="0088295C"/>
    <w:rsid w:val="00882C77"/>
    <w:rsid w:val="00882D9D"/>
    <w:rsid w:val="00882E11"/>
    <w:rsid w:val="0088302A"/>
    <w:rsid w:val="008830A1"/>
    <w:rsid w:val="00883690"/>
    <w:rsid w:val="00883757"/>
    <w:rsid w:val="00883AE3"/>
    <w:rsid w:val="00883B47"/>
    <w:rsid w:val="00883C05"/>
    <w:rsid w:val="00884120"/>
    <w:rsid w:val="008849DF"/>
    <w:rsid w:val="00884C19"/>
    <w:rsid w:val="008850FE"/>
    <w:rsid w:val="008852ED"/>
    <w:rsid w:val="00885650"/>
    <w:rsid w:val="008856F5"/>
    <w:rsid w:val="0088575F"/>
    <w:rsid w:val="00885945"/>
    <w:rsid w:val="00885A06"/>
    <w:rsid w:val="00885C73"/>
    <w:rsid w:val="008860A3"/>
    <w:rsid w:val="0088623A"/>
    <w:rsid w:val="0088647B"/>
    <w:rsid w:val="00886C6C"/>
    <w:rsid w:val="00887322"/>
    <w:rsid w:val="00887783"/>
    <w:rsid w:val="008878EE"/>
    <w:rsid w:val="008879D7"/>
    <w:rsid w:val="00887A9E"/>
    <w:rsid w:val="00887AB9"/>
    <w:rsid w:val="00887B82"/>
    <w:rsid w:val="00887BEE"/>
    <w:rsid w:val="00890154"/>
    <w:rsid w:val="008901DF"/>
    <w:rsid w:val="0089059C"/>
    <w:rsid w:val="00890826"/>
    <w:rsid w:val="00890A2F"/>
    <w:rsid w:val="00890CC0"/>
    <w:rsid w:val="00890E05"/>
    <w:rsid w:val="00890E34"/>
    <w:rsid w:val="00890F51"/>
    <w:rsid w:val="0089150D"/>
    <w:rsid w:val="00891871"/>
    <w:rsid w:val="00891DE2"/>
    <w:rsid w:val="00891E0C"/>
    <w:rsid w:val="0089212B"/>
    <w:rsid w:val="00892207"/>
    <w:rsid w:val="00892224"/>
    <w:rsid w:val="00892839"/>
    <w:rsid w:val="008929FF"/>
    <w:rsid w:val="00892E7F"/>
    <w:rsid w:val="00892EC5"/>
    <w:rsid w:val="0089306A"/>
    <w:rsid w:val="0089378E"/>
    <w:rsid w:val="008938DC"/>
    <w:rsid w:val="00893998"/>
    <w:rsid w:val="00893D03"/>
    <w:rsid w:val="00893E7C"/>
    <w:rsid w:val="0089418B"/>
    <w:rsid w:val="008942DC"/>
    <w:rsid w:val="0089456E"/>
    <w:rsid w:val="00894707"/>
    <w:rsid w:val="008947E9"/>
    <w:rsid w:val="00894E7F"/>
    <w:rsid w:val="00894F0B"/>
    <w:rsid w:val="00894F34"/>
    <w:rsid w:val="008955EA"/>
    <w:rsid w:val="00895D36"/>
    <w:rsid w:val="008962EC"/>
    <w:rsid w:val="00896504"/>
    <w:rsid w:val="00896779"/>
    <w:rsid w:val="0089678E"/>
    <w:rsid w:val="00896B9D"/>
    <w:rsid w:val="00896C76"/>
    <w:rsid w:val="0089705F"/>
    <w:rsid w:val="00897062"/>
    <w:rsid w:val="00897221"/>
    <w:rsid w:val="008976D3"/>
    <w:rsid w:val="00897A55"/>
    <w:rsid w:val="00897A8A"/>
    <w:rsid w:val="00897B1C"/>
    <w:rsid w:val="00897CEF"/>
    <w:rsid w:val="00897E55"/>
    <w:rsid w:val="00897FBF"/>
    <w:rsid w:val="008A0183"/>
    <w:rsid w:val="008A0346"/>
    <w:rsid w:val="008A0484"/>
    <w:rsid w:val="008A06F3"/>
    <w:rsid w:val="008A0BB1"/>
    <w:rsid w:val="008A0BCD"/>
    <w:rsid w:val="008A0E80"/>
    <w:rsid w:val="008A0E8A"/>
    <w:rsid w:val="008A1193"/>
    <w:rsid w:val="008A13BB"/>
    <w:rsid w:val="008A18E4"/>
    <w:rsid w:val="008A1BBD"/>
    <w:rsid w:val="008A23A9"/>
    <w:rsid w:val="008A243F"/>
    <w:rsid w:val="008A24D6"/>
    <w:rsid w:val="008A253B"/>
    <w:rsid w:val="008A2835"/>
    <w:rsid w:val="008A2CEC"/>
    <w:rsid w:val="008A2CF5"/>
    <w:rsid w:val="008A2FF3"/>
    <w:rsid w:val="008A31CE"/>
    <w:rsid w:val="008A321B"/>
    <w:rsid w:val="008A3368"/>
    <w:rsid w:val="008A3AF6"/>
    <w:rsid w:val="008A3C26"/>
    <w:rsid w:val="008A45F2"/>
    <w:rsid w:val="008A4781"/>
    <w:rsid w:val="008A4B0B"/>
    <w:rsid w:val="008A4C27"/>
    <w:rsid w:val="008A4DF4"/>
    <w:rsid w:val="008A4F81"/>
    <w:rsid w:val="008A52B4"/>
    <w:rsid w:val="008A55DC"/>
    <w:rsid w:val="008A630A"/>
    <w:rsid w:val="008A6477"/>
    <w:rsid w:val="008A658F"/>
    <w:rsid w:val="008A6B23"/>
    <w:rsid w:val="008A706A"/>
    <w:rsid w:val="008A7414"/>
    <w:rsid w:val="008A764C"/>
    <w:rsid w:val="008A76F1"/>
    <w:rsid w:val="008A7893"/>
    <w:rsid w:val="008A7A4E"/>
    <w:rsid w:val="008A7D0A"/>
    <w:rsid w:val="008A7E06"/>
    <w:rsid w:val="008A7E36"/>
    <w:rsid w:val="008A7F05"/>
    <w:rsid w:val="008B00FD"/>
    <w:rsid w:val="008B07E1"/>
    <w:rsid w:val="008B0C55"/>
    <w:rsid w:val="008B0F3B"/>
    <w:rsid w:val="008B11EA"/>
    <w:rsid w:val="008B15D4"/>
    <w:rsid w:val="008B1EAD"/>
    <w:rsid w:val="008B1FAD"/>
    <w:rsid w:val="008B23F3"/>
    <w:rsid w:val="008B254F"/>
    <w:rsid w:val="008B28D8"/>
    <w:rsid w:val="008B2C3F"/>
    <w:rsid w:val="008B2C90"/>
    <w:rsid w:val="008B2D63"/>
    <w:rsid w:val="008B2F9D"/>
    <w:rsid w:val="008B319B"/>
    <w:rsid w:val="008B3378"/>
    <w:rsid w:val="008B346F"/>
    <w:rsid w:val="008B36AB"/>
    <w:rsid w:val="008B3794"/>
    <w:rsid w:val="008B3F11"/>
    <w:rsid w:val="008B40C9"/>
    <w:rsid w:val="008B4510"/>
    <w:rsid w:val="008B45BD"/>
    <w:rsid w:val="008B4624"/>
    <w:rsid w:val="008B47E7"/>
    <w:rsid w:val="008B485D"/>
    <w:rsid w:val="008B49B6"/>
    <w:rsid w:val="008B4A9D"/>
    <w:rsid w:val="008B4BBC"/>
    <w:rsid w:val="008B4F23"/>
    <w:rsid w:val="008B556C"/>
    <w:rsid w:val="008B5DD0"/>
    <w:rsid w:val="008B5E34"/>
    <w:rsid w:val="008B648C"/>
    <w:rsid w:val="008B6872"/>
    <w:rsid w:val="008B6A69"/>
    <w:rsid w:val="008B6B7D"/>
    <w:rsid w:val="008B703E"/>
    <w:rsid w:val="008B74C2"/>
    <w:rsid w:val="008B7A72"/>
    <w:rsid w:val="008B7DDB"/>
    <w:rsid w:val="008B7F30"/>
    <w:rsid w:val="008C053D"/>
    <w:rsid w:val="008C0C01"/>
    <w:rsid w:val="008C0C50"/>
    <w:rsid w:val="008C0D20"/>
    <w:rsid w:val="008C0D27"/>
    <w:rsid w:val="008C10DB"/>
    <w:rsid w:val="008C129F"/>
    <w:rsid w:val="008C1413"/>
    <w:rsid w:val="008C153F"/>
    <w:rsid w:val="008C17BB"/>
    <w:rsid w:val="008C1F44"/>
    <w:rsid w:val="008C2393"/>
    <w:rsid w:val="008C249D"/>
    <w:rsid w:val="008C2564"/>
    <w:rsid w:val="008C26BB"/>
    <w:rsid w:val="008C2756"/>
    <w:rsid w:val="008C286F"/>
    <w:rsid w:val="008C2F35"/>
    <w:rsid w:val="008C33BC"/>
    <w:rsid w:val="008C3663"/>
    <w:rsid w:val="008C3B8B"/>
    <w:rsid w:val="008C40F7"/>
    <w:rsid w:val="008C42C1"/>
    <w:rsid w:val="008C46E1"/>
    <w:rsid w:val="008C4AFD"/>
    <w:rsid w:val="008C4F25"/>
    <w:rsid w:val="008C5280"/>
    <w:rsid w:val="008C5478"/>
    <w:rsid w:val="008C571F"/>
    <w:rsid w:val="008C59F4"/>
    <w:rsid w:val="008C5BDF"/>
    <w:rsid w:val="008C5FD1"/>
    <w:rsid w:val="008C62F2"/>
    <w:rsid w:val="008C6411"/>
    <w:rsid w:val="008C6D1A"/>
    <w:rsid w:val="008C73AC"/>
    <w:rsid w:val="008D058F"/>
    <w:rsid w:val="008D0696"/>
    <w:rsid w:val="008D06B5"/>
    <w:rsid w:val="008D0715"/>
    <w:rsid w:val="008D07D6"/>
    <w:rsid w:val="008D09B0"/>
    <w:rsid w:val="008D207D"/>
    <w:rsid w:val="008D2703"/>
    <w:rsid w:val="008D2CB5"/>
    <w:rsid w:val="008D3149"/>
    <w:rsid w:val="008D337D"/>
    <w:rsid w:val="008D33B1"/>
    <w:rsid w:val="008D3610"/>
    <w:rsid w:val="008D3683"/>
    <w:rsid w:val="008D3AA7"/>
    <w:rsid w:val="008D3C2A"/>
    <w:rsid w:val="008D3C90"/>
    <w:rsid w:val="008D3D05"/>
    <w:rsid w:val="008D45BF"/>
    <w:rsid w:val="008D471B"/>
    <w:rsid w:val="008D4A18"/>
    <w:rsid w:val="008D4F5D"/>
    <w:rsid w:val="008D502E"/>
    <w:rsid w:val="008D5034"/>
    <w:rsid w:val="008D5076"/>
    <w:rsid w:val="008D51EF"/>
    <w:rsid w:val="008D5224"/>
    <w:rsid w:val="008D52DF"/>
    <w:rsid w:val="008D52EC"/>
    <w:rsid w:val="008D55A3"/>
    <w:rsid w:val="008D5D5E"/>
    <w:rsid w:val="008D5DCE"/>
    <w:rsid w:val="008D647B"/>
    <w:rsid w:val="008D6563"/>
    <w:rsid w:val="008D6678"/>
    <w:rsid w:val="008D67EE"/>
    <w:rsid w:val="008D6875"/>
    <w:rsid w:val="008D6944"/>
    <w:rsid w:val="008D6B77"/>
    <w:rsid w:val="008D6C2F"/>
    <w:rsid w:val="008D6C44"/>
    <w:rsid w:val="008D6D33"/>
    <w:rsid w:val="008D7035"/>
    <w:rsid w:val="008D70FC"/>
    <w:rsid w:val="008D7129"/>
    <w:rsid w:val="008D7A12"/>
    <w:rsid w:val="008DCA9A"/>
    <w:rsid w:val="008E0183"/>
    <w:rsid w:val="008E029E"/>
    <w:rsid w:val="008E0E85"/>
    <w:rsid w:val="008E0FB1"/>
    <w:rsid w:val="008E12C1"/>
    <w:rsid w:val="008E1649"/>
    <w:rsid w:val="008E169E"/>
    <w:rsid w:val="008E16C4"/>
    <w:rsid w:val="008E1B00"/>
    <w:rsid w:val="008E1BE9"/>
    <w:rsid w:val="008E2080"/>
    <w:rsid w:val="008E2560"/>
    <w:rsid w:val="008E2997"/>
    <w:rsid w:val="008E2A24"/>
    <w:rsid w:val="008E2B86"/>
    <w:rsid w:val="008E2D5E"/>
    <w:rsid w:val="008E313B"/>
    <w:rsid w:val="008E33DF"/>
    <w:rsid w:val="008E3875"/>
    <w:rsid w:val="008E3A20"/>
    <w:rsid w:val="008E40B2"/>
    <w:rsid w:val="008E42E5"/>
    <w:rsid w:val="008E4580"/>
    <w:rsid w:val="008E4656"/>
    <w:rsid w:val="008E4BF7"/>
    <w:rsid w:val="008E4DE0"/>
    <w:rsid w:val="008E4F70"/>
    <w:rsid w:val="008E51F7"/>
    <w:rsid w:val="008E541E"/>
    <w:rsid w:val="008E54FE"/>
    <w:rsid w:val="008E59A8"/>
    <w:rsid w:val="008E5C26"/>
    <w:rsid w:val="008E5C87"/>
    <w:rsid w:val="008E5C97"/>
    <w:rsid w:val="008E5CC0"/>
    <w:rsid w:val="008E5DB0"/>
    <w:rsid w:val="008E5E5C"/>
    <w:rsid w:val="008E61E9"/>
    <w:rsid w:val="008E61FC"/>
    <w:rsid w:val="008E6244"/>
    <w:rsid w:val="008E6416"/>
    <w:rsid w:val="008E6C8D"/>
    <w:rsid w:val="008E7017"/>
    <w:rsid w:val="008E7107"/>
    <w:rsid w:val="008E71D5"/>
    <w:rsid w:val="008E71F7"/>
    <w:rsid w:val="008E7518"/>
    <w:rsid w:val="008E755A"/>
    <w:rsid w:val="008E765F"/>
    <w:rsid w:val="008E7705"/>
    <w:rsid w:val="008E7C85"/>
    <w:rsid w:val="008E7CBF"/>
    <w:rsid w:val="008F01C8"/>
    <w:rsid w:val="008F09AE"/>
    <w:rsid w:val="008F0B11"/>
    <w:rsid w:val="008F0F0D"/>
    <w:rsid w:val="008F15F5"/>
    <w:rsid w:val="008F1DE5"/>
    <w:rsid w:val="008F1E17"/>
    <w:rsid w:val="008F1FDC"/>
    <w:rsid w:val="008F306D"/>
    <w:rsid w:val="008F329B"/>
    <w:rsid w:val="008F36D7"/>
    <w:rsid w:val="008F3B31"/>
    <w:rsid w:val="008F3D9C"/>
    <w:rsid w:val="008F3E8C"/>
    <w:rsid w:val="008F4666"/>
    <w:rsid w:val="008F4B8D"/>
    <w:rsid w:val="008F4DA8"/>
    <w:rsid w:val="008F4E14"/>
    <w:rsid w:val="008F52B5"/>
    <w:rsid w:val="008F573F"/>
    <w:rsid w:val="008F584A"/>
    <w:rsid w:val="008F58C7"/>
    <w:rsid w:val="008F5F4F"/>
    <w:rsid w:val="008F6442"/>
    <w:rsid w:val="008F6553"/>
    <w:rsid w:val="008F6836"/>
    <w:rsid w:val="008F6880"/>
    <w:rsid w:val="008F6994"/>
    <w:rsid w:val="008F6C29"/>
    <w:rsid w:val="008F6D5E"/>
    <w:rsid w:val="008F7049"/>
    <w:rsid w:val="008F70B2"/>
    <w:rsid w:val="008F723C"/>
    <w:rsid w:val="008F738A"/>
    <w:rsid w:val="008F74CE"/>
    <w:rsid w:val="008F773D"/>
    <w:rsid w:val="008F7C00"/>
    <w:rsid w:val="008F7DA3"/>
    <w:rsid w:val="0090011A"/>
    <w:rsid w:val="009001D2"/>
    <w:rsid w:val="009003B1"/>
    <w:rsid w:val="009003F0"/>
    <w:rsid w:val="00900621"/>
    <w:rsid w:val="009006E2"/>
    <w:rsid w:val="0090095C"/>
    <w:rsid w:val="00900A66"/>
    <w:rsid w:val="0090138E"/>
    <w:rsid w:val="0090142B"/>
    <w:rsid w:val="009014FD"/>
    <w:rsid w:val="00901674"/>
    <w:rsid w:val="009019DE"/>
    <w:rsid w:val="009027F6"/>
    <w:rsid w:val="009029C5"/>
    <w:rsid w:val="00902A84"/>
    <w:rsid w:val="00902E34"/>
    <w:rsid w:val="00903350"/>
    <w:rsid w:val="0090363C"/>
    <w:rsid w:val="009038A3"/>
    <w:rsid w:val="00903B67"/>
    <w:rsid w:val="00903BB4"/>
    <w:rsid w:val="00903CF1"/>
    <w:rsid w:val="00903E15"/>
    <w:rsid w:val="00903EE6"/>
    <w:rsid w:val="009040B4"/>
    <w:rsid w:val="00904510"/>
    <w:rsid w:val="009045C9"/>
    <w:rsid w:val="009045E5"/>
    <w:rsid w:val="00904A2A"/>
    <w:rsid w:val="00904A4D"/>
    <w:rsid w:val="00904AD2"/>
    <w:rsid w:val="00904D2D"/>
    <w:rsid w:val="00904D37"/>
    <w:rsid w:val="00904EEA"/>
    <w:rsid w:val="00904F15"/>
    <w:rsid w:val="00905295"/>
    <w:rsid w:val="009055C0"/>
    <w:rsid w:val="00905608"/>
    <w:rsid w:val="00905F86"/>
    <w:rsid w:val="0090608A"/>
    <w:rsid w:val="00906248"/>
    <w:rsid w:val="00906A5D"/>
    <w:rsid w:val="00906B49"/>
    <w:rsid w:val="00906D31"/>
    <w:rsid w:val="009070B5"/>
    <w:rsid w:val="00907F0C"/>
    <w:rsid w:val="00910698"/>
    <w:rsid w:val="00910951"/>
    <w:rsid w:val="009109C2"/>
    <w:rsid w:val="00910CA6"/>
    <w:rsid w:val="00911089"/>
    <w:rsid w:val="00911487"/>
    <w:rsid w:val="00911715"/>
    <w:rsid w:val="00911874"/>
    <w:rsid w:val="00911894"/>
    <w:rsid w:val="00911A5C"/>
    <w:rsid w:val="00911B3E"/>
    <w:rsid w:val="00911BFC"/>
    <w:rsid w:val="00911EFA"/>
    <w:rsid w:val="009123CA"/>
    <w:rsid w:val="009124BE"/>
    <w:rsid w:val="00912726"/>
    <w:rsid w:val="00912C17"/>
    <w:rsid w:val="009132D5"/>
    <w:rsid w:val="0091356D"/>
    <w:rsid w:val="0091386B"/>
    <w:rsid w:val="00913B4D"/>
    <w:rsid w:val="00913C1C"/>
    <w:rsid w:val="00913E62"/>
    <w:rsid w:val="0091415C"/>
    <w:rsid w:val="00914C02"/>
    <w:rsid w:val="00914CD8"/>
    <w:rsid w:val="00914F85"/>
    <w:rsid w:val="00914FCB"/>
    <w:rsid w:val="00915297"/>
    <w:rsid w:val="0091537B"/>
    <w:rsid w:val="00915BB1"/>
    <w:rsid w:val="00915EEE"/>
    <w:rsid w:val="009161F3"/>
    <w:rsid w:val="00916744"/>
    <w:rsid w:val="009167C2"/>
    <w:rsid w:val="00916862"/>
    <w:rsid w:val="009168A0"/>
    <w:rsid w:val="009169D9"/>
    <w:rsid w:val="009169FD"/>
    <w:rsid w:val="00916AC2"/>
    <w:rsid w:val="00916BE1"/>
    <w:rsid w:val="00916FD3"/>
    <w:rsid w:val="009170AB"/>
    <w:rsid w:val="00917323"/>
    <w:rsid w:val="00917367"/>
    <w:rsid w:val="009173E2"/>
    <w:rsid w:val="00917458"/>
    <w:rsid w:val="00917842"/>
    <w:rsid w:val="009178D6"/>
    <w:rsid w:val="00917F9F"/>
    <w:rsid w:val="009200EC"/>
    <w:rsid w:val="00920208"/>
    <w:rsid w:val="0092027F"/>
    <w:rsid w:val="009202BE"/>
    <w:rsid w:val="00920E97"/>
    <w:rsid w:val="00920EE1"/>
    <w:rsid w:val="009212A5"/>
    <w:rsid w:val="00921821"/>
    <w:rsid w:val="00921827"/>
    <w:rsid w:val="00921836"/>
    <w:rsid w:val="009219A5"/>
    <w:rsid w:val="00921E2D"/>
    <w:rsid w:val="009220A8"/>
    <w:rsid w:val="009220CB"/>
    <w:rsid w:val="00922258"/>
    <w:rsid w:val="00922342"/>
    <w:rsid w:val="0092250A"/>
    <w:rsid w:val="00922729"/>
    <w:rsid w:val="009227E9"/>
    <w:rsid w:val="00922813"/>
    <w:rsid w:val="00922BE1"/>
    <w:rsid w:val="00922D35"/>
    <w:rsid w:val="00922DF2"/>
    <w:rsid w:val="00923081"/>
    <w:rsid w:val="00923204"/>
    <w:rsid w:val="00923F36"/>
    <w:rsid w:val="009240F5"/>
    <w:rsid w:val="009241A8"/>
    <w:rsid w:val="00924421"/>
    <w:rsid w:val="00924543"/>
    <w:rsid w:val="0092462E"/>
    <w:rsid w:val="00924859"/>
    <w:rsid w:val="00924AE9"/>
    <w:rsid w:val="00924C3D"/>
    <w:rsid w:val="00924E9C"/>
    <w:rsid w:val="00924EE5"/>
    <w:rsid w:val="00924F03"/>
    <w:rsid w:val="00924F2F"/>
    <w:rsid w:val="00925C85"/>
    <w:rsid w:val="00926700"/>
    <w:rsid w:val="00926B1A"/>
    <w:rsid w:val="00926F6C"/>
    <w:rsid w:val="009273D8"/>
    <w:rsid w:val="00927790"/>
    <w:rsid w:val="009278F4"/>
    <w:rsid w:val="009279F4"/>
    <w:rsid w:val="00927B0D"/>
    <w:rsid w:val="00927C4A"/>
    <w:rsid w:val="00927E5E"/>
    <w:rsid w:val="00927E63"/>
    <w:rsid w:val="0093000A"/>
    <w:rsid w:val="00930074"/>
    <w:rsid w:val="0093021C"/>
    <w:rsid w:val="009302A5"/>
    <w:rsid w:val="00930353"/>
    <w:rsid w:val="009305D4"/>
    <w:rsid w:val="0093095C"/>
    <w:rsid w:val="00930A08"/>
    <w:rsid w:val="00930DCA"/>
    <w:rsid w:val="009310C7"/>
    <w:rsid w:val="00931169"/>
    <w:rsid w:val="00931528"/>
    <w:rsid w:val="00931BB7"/>
    <w:rsid w:val="00931C7E"/>
    <w:rsid w:val="00931CB0"/>
    <w:rsid w:val="00931E78"/>
    <w:rsid w:val="0093204E"/>
    <w:rsid w:val="0093216F"/>
    <w:rsid w:val="00932433"/>
    <w:rsid w:val="0093248A"/>
    <w:rsid w:val="0093255A"/>
    <w:rsid w:val="00932A1E"/>
    <w:rsid w:val="00932D25"/>
    <w:rsid w:val="00932D5F"/>
    <w:rsid w:val="00932FF2"/>
    <w:rsid w:val="00933236"/>
    <w:rsid w:val="009335A8"/>
    <w:rsid w:val="00933753"/>
    <w:rsid w:val="0093377B"/>
    <w:rsid w:val="00933C81"/>
    <w:rsid w:val="009342F5"/>
    <w:rsid w:val="00934471"/>
    <w:rsid w:val="00934731"/>
    <w:rsid w:val="00934B7A"/>
    <w:rsid w:val="00934C61"/>
    <w:rsid w:val="00935318"/>
    <w:rsid w:val="009353EB"/>
    <w:rsid w:val="009354BC"/>
    <w:rsid w:val="00935517"/>
    <w:rsid w:val="0093586F"/>
    <w:rsid w:val="00935C2D"/>
    <w:rsid w:val="00935F6E"/>
    <w:rsid w:val="0093637E"/>
    <w:rsid w:val="00936883"/>
    <w:rsid w:val="00936E79"/>
    <w:rsid w:val="009371A0"/>
    <w:rsid w:val="00937797"/>
    <w:rsid w:val="0093790B"/>
    <w:rsid w:val="00937A49"/>
    <w:rsid w:val="00937D81"/>
    <w:rsid w:val="00937F0F"/>
    <w:rsid w:val="0094049E"/>
    <w:rsid w:val="009409CB"/>
    <w:rsid w:val="00940A00"/>
    <w:rsid w:val="00940AA2"/>
    <w:rsid w:val="00940FE2"/>
    <w:rsid w:val="00941296"/>
    <w:rsid w:val="00941474"/>
    <w:rsid w:val="00941543"/>
    <w:rsid w:val="00941A85"/>
    <w:rsid w:val="00941BC7"/>
    <w:rsid w:val="00941D52"/>
    <w:rsid w:val="00941F86"/>
    <w:rsid w:val="009422C1"/>
    <w:rsid w:val="009422C6"/>
    <w:rsid w:val="009422FC"/>
    <w:rsid w:val="009425DA"/>
    <w:rsid w:val="00942734"/>
    <w:rsid w:val="00942B19"/>
    <w:rsid w:val="00942B24"/>
    <w:rsid w:val="00942B98"/>
    <w:rsid w:val="00942C09"/>
    <w:rsid w:val="009432C5"/>
    <w:rsid w:val="00943586"/>
    <w:rsid w:val="00943C93"/>
    <w:rsid w:val="00943CFD"/>
    <w:rsid w:val="00943F7F"/>
    <w:rsid w:val="00943FFD"/>
    <w:rsid w:val="00944461"/>
    <w:rsid w:val="009446BF"/>
    <w:rsid w:val="00944ADE"/>
    <w:rsid w:val="00944B0E"/>
    <w:rsid w:val="00944E62"/>
    <w:rsid w:val="00944EBB"/>
    <w:rsid w:val="009452AF"/>
    <w:rsid w:val="0094561A"/>
    <w:rsid w:val="00945A37"/>
    <w:rsid w:val="00945A41"/>
    <w:rsid w:val="00945C8E"/>
    <w:rsid w:val="00945F7C"/>
    <w:rsid w:val="00945F94"/>
    <w:rsid w:val="009465D3"/>
    <w:rsid w:val="0094705D"/>
    <w:rsid w:val="009477AE"/>
    <w:rsid w:val="00947ACA"/>
    <w:rsid w:val="00947B24"/>
    <w:rsid w:val="00947B59"/>
    <w:rsid w:val="00947E0B"/>
    <w:rsid w:val="00947E2A"/>
    <w:rsid w:val="00950114"/>
    <w:rsid w:val="009508C6"/>
    <w:rsid w:val="00950939"/>
    <w:rsid w:val="00950C7B"/>
    <w:rsid w:val="00950E16"/>
    <w:rsid w:val="00951B1A"/>
    <w:rsid w:val="00951C9A"/>
    <w:rsid w:val="00951F16"/>
    <w:rsid w:val="00952012"/>
    <w:rsid w:val="00952033"/>
    <w:rsid w:val="009520D2"/>
    <w:rsid w:val="009524EA"/>
    <w:rsid w:val="0095272E"/>
    <w:rsid w:val="00952AFC"/>
    <w:rsid w:val="00952CBA"/>
    <w:rsid w:val="00952DD1"/>
    <w:rsid w:val="0095304B"/>
    <w:rsid w:val="009530F3"/>
    <w:rsid w:val="0095311E"/>
    <w:rsid w:val="00953483"/>
    <w:rsid w:val="0095383A"/>
    <w:rsid w:val="0095420E"/>
    <w:rsid w:val="009545FF"/>
    <w:rsid w:val="0095464D"/>
    <w:rsid w:val="00954857"/>
    <w:rsid w:val="00954AB1"/>
    <w:rsid w:val="00954BE3"/>
    <w:rsid w:val="00954F20"/>
    <w:rsid w:val="0095518B"/>
    <w:rsid w:val="00955296"/>
    <w:rsid w:val="009555BD"/>
    <w:rsid w:val="0095574A"/>
    <w:rsid w:val="00955B95"/>
    <w:rsid w:val="00955C86"/>
    <w:rsid w:val="00955D92"/>
    <w:rsid w:val="00955E2E"/>
    <w:rsid w:val="0095628B"/>
    <w:rsid w:val="009562E1"/>
    <w:rsid w:val="009565FE"/>
    <w:rsid w:val="0095669B"/>
    <w:rsid w:val="009567EA"/>
    <w:rsid w:val="00956A4D"/>
    <w:rsid w:val="00956B39"/>
    <w:rsid w:val="00956ECF"/>
    <w:rsid w:val="009572E3"/>
    <w:rsid w:val="0095736E"/>
    <w:rsid w:val="00957494"/>
    <w:rsid w:val="00957602"/>
    <w:rsid w:val="00957E17"/>
    <w:rsid w:val="00960001"/>
    <w:rsid w:val="00960332"/>
    <w:rsid w:val="0096055E"/>
    <w:rsid w:val="0096057C"/>
    <w:rsid w:val="0096059D"/>
    <w:rsid w:val="009609B5"/>
    <w:rsid w:val="00961758"/>
    <w:rsid w:val="009617A0"/>
    <w:rsid w:val="009619EA"/>
    <w:rsid w:val="00961A78"/>
    <w:rsid w:val="00961D5E"/>
    <w:rsid w:val="00962193"/>
    <w:rsid w:val="00962369"/>
    <w:rsid w:val="0096261C"/>
    <w:rsid w:val="009627C8"/>
    <w:rsid w:val="0096289F"/>
    <w:rsid w:val="00962F6D"/>
    <w:rsid w:val="009631DB"/>
    <w:rsid w:val="00963332"/>
    <w:rsid w:val="00963355"/>
    <w:rsid w:val="00963960"/>
    <w:rsid w:val="00963A63"/>
    <w:rsid w:val="009644AD"/>
    <w:rsid w:val="00964558"/>
    <w:rsid w:val="00964869"/>
    <w:rsid w:val="00964AE7"/>
    <w:rsid w:val="00964D76"/>
    <w:rsid w:val="0096502F"/>
    <w:rsid w:val="0096529E"/>
    <w:rsid w:val="0096577C"/>
    <w:rsid w:val="00965D92"/>
    <w:rsid w:val="009660D0"/>
    <w:rsid w:val="009661D8"/>
    <w:rsid w:val="00966335"/>
    <w:rsid w:val="00966ADE"/>
    <w:rsid w:val="00967069"/>
    <w:rsid w:val="009674E9"/>
    <w:rsid w:val="00967628"/>
    <w:rsid w:val="0096791F"/>
    <w:rsid w:val="00967A83"/>
    <w:rsid w:val="00967E78"/>
    <w:rsid w:val="0097003A"/>
    <w:rsid w:val="00970BC3"/>
    <w:rsid w:val="00970E44"/>
    <w:rsid w:val="00970FE7"/>
    <w:rsid w:val="00970FF4"/>
    <w:rsid w:val="009710A2"/>
    <w:rsid w:val="009711BB"/>
    <w:rsid w:val="009713F0"/>
    <w:rsid w:val="00971885"/>
    <w:rsid w:val="00971A10"/>
    <w:rsid w:val="00971B5A"/>
    <w:rsid w:val="00971BCF"/>
    <w:rsid w:val="00971CB6"/>
    <w:rsid w:val="00971DA3"/>
    <w:rsid w:val="009720EA"/>
    <w:rsid w:val="0097244A"/>
    <w:rsid w:val="009724F0"/>
    <w:rsid w:val="00972716"/>
    <w:rsid w:val="009728A1"/>
    <w:rsid w:val="00972949"/>
    <w:rsid w:val="00972B04"/>
    <w:rsid w:val="00972FF1"/>
    <w:rsid w:val="00973360"/>
    <w:rsid w:val="009738AA"/>
    <w:rsid w:val="00973DB8"/>
    <w:rsid w:val="00973E85"/>
    <w:rsid w:val="00973F30"/>
    <w:rsid w:val="009740BC"/>
    <w:rsid w:val="0097419F"/>
    <w:rsid w:val="00974C06"/>
    <w:rsid w:val="00974C0D"/>
    <w:rsid w:val="00974D90"/>
    <w:rsid w:val="0097540E"/>
    <w:rsid w:val="00975602"/>
    <w:rsid w:val="0097568D"/>
    <w:rsid w:val="009757DB"/>
    <w:rsid w:val="00975A0F"/>
    <w:rsid w:val="00975C81"/>
    <w:rsid w:val="00976138"/>
    <w:rsid w:val="00976368"/>
    <w:rsid w:val="00976434"/>
    <w:rsid w:val="00976456"/>
    <w:rsid w:val="0097690F"/>
    <w:rsid w:val="00976CEE"/>
    <w:rsid w:val="009774DE"/>
    <w:rsid w:val="009774F6"/>
    <w:rsid w:val="009779B2"/>
    <w:rsid w:val="00977B17"/>
    <w:rsid w:val="00977C18"/>
    <w:rsid w:val="00977D3F"/>
    <w:rsid w:val="00977EF6"/>
    <w:rsid w:val="009800A0"/>
    <w:rsid w:val="00980634"/>
    <w:rsid w:val="009806BD"/>
    <w:rsid w:val="009808CD"/>
    <w:rsid w:val="00980CA3"/>
    <w:rsid w:val="00980F9F"/>
    <w:rsid w:val="00980FF5"/>
    <w:rsid w:val="009810A6"/>
    <w:rsid w:val="00981D14"/>
    <w:rsid w:val="00981FD2"/>
    <w:rsid w:val="00982625"/>
    <w:rsid w:val="009827D0"/>
    <w:rsid w:val="00982937"/>
    <w:rsid w:val="00983717"/>
    <w:rsid w:val="009839FE"/>
    <w:rsid w:val="00983B32"/>
    <w:rsid w:val="00983CF2"/>
    <w:rsid w:val="00983E49"/>
    <w:rsid w:val="00984024"/>
    <w:rsid w:val="00984103"/>
    <w:rsid w:val="00984245"/>
    <w:rsid w:val="0098457A"/>
    <w:rsid w:val="00984662"/>
    <w:rsid w:val="009846D3"/>
    <w:rsid w:val="00984792"/>
    <w:rsid w:val="00984A82"/>
    <w:rsid w:val="00984E30"/>
    <w:rsid w:val="009855AD"/>
    <w:rsid w:val="00985645"/>
    <w:rsid w:val="0098580D"/>
    <w:rsid w:val="009858EB"/>
    <w:rsid w:val="00985A08"/>
    <w:rsid w:val="00985DC7"/>
    <w:rsid w:val="00985ECA"/>
    <w:rsid w:val="00985FA4"/>
    <w:rsid w:val="0098607F"/>
    <w:rsid w:val="009863F4"/>
    <w:rsid w:val="009864C0"/>
    <w:rsid w:val="0098686D"/>
    <w:rsid w:val="00986902"/>
    <w:rsid w:val="009869D3"/>
    <w:rsid w:val="00986B33"/>
    <w:rsid w:val="00986DA9"/>
    <w:rsid w:val="0098703E"/>
    <w:rsid w:val="0098719D"/>
    <w:rsid w:val="0098768E"/>
    <w:rsid w:val="0098796D"/>
    <w:rsid w:val="00987A7D"/>
    <w:rsid w:val="00987C20"/>
    <w:rsid w:val="009903E9"/>
    <w:rsid w:val="009904E6"/>
    <w:rsid w:val="009909BC"/>
    <w:rsid w:val="00990D16"/>
    <w:rsid w:val="00990ECB"/>
    <w:rsid w:val="009910BE"/>
    <w:rsid w:val="009914F9"/>
    <w:rsid w:val="0099151F"/>
    <w:rsid w:val="00991886"/>
    <w:rsid w:val="00991A4B"/>
    <w:rsid w:val="00991E2C"/>
    <w:rsid w:val="00991F67"/>
    <w:rsid w:val="00992261"/>
    <w:rsid w:val="009922C1"/>
    <w:rsid w:val="009925F2"/>
    <w:rsid w:val="00992642"/>
    <w:rsid w:val="0099271B"/>
    <w:rsid w:val="00992B28"/>
    <w:rsid w:val="00992BC4"/>
    <w:rsid w:val="00992D31"/>
    <w:rsid w:val="00992E3C"/>
    <w:rsid w:val="00992F6E"/>
    <w:rsid w:val="0099304F"/>
    <w:rsid w:val="00993675"/>
    <w:rsid w:val="00993B8C"/>
    <w:rsid w:val="00993DF2"/>
    <w:rsid w:val="00994270"/>
    <w:rsid w:val="00994617"/>
    <w:rsid w:val="0099461D"/>
    <w:rsid w:val="009947AA"/>
    <w:rsid w:val="009947EE"/>
    <w:rsid w:val="009948DB"/>
    <w:rsid w:val="009948EE"/>
    <w:rsid w:val="00994AE4"/>
    <w:rsid w:val="00995B1F"/>
    <w:rsid w:val="00995C3A"/>
    <w:rsid w:val="00995C83"/>
    <w:rsid w:val="00995CBE"/>
    <w:rsid w:val="00995DB1"/>
    <w:rsid w:val="00996159"/>
    <w:rsid w:val="00996278"/>
    <w:rsid w:val="009962C9"/>
    <w:rsid w:val="00996E0B"/>
    <w:rsid w:val="00996F85"/>
    <w:rsid w:val="00997191"/>
    <w:rsid w:val="00997416"/>
    <w:rsid w:val="009974C3"/>
    <w:rsid w:val="00997551"/>
    <w:rsid w:val="00997FFA"/>
    <w:rsid w:val="009A001D"/>
    <w:rsid w:val="009A05C9"/>
    <w:rsid w:val="009A0B55"/>
    <w:rsid w:val="009A12F4"/>
    <w:rsid w:val="009A131D"/>
    <w:rsid w:val="009A15E8"/>
    <w:rsid w:val="009A1A56"/>
    <w:rsid w:val="009A1BA3"/>
    <w:rsid w:val="009A1BCB"/>
    <w:rsid w:val="009A2266"/>
    <w:rsid w:val="009A23D2"/>
    <w:rsid w:val="009A2427"/>
    <w:rsid w:val="009A2500"/>
    <w:rsid w:val="009A254B"/>
    <w:rsid w:val="009A25CB"/>
    <w:rsid w:val="009A25F0"/>
    <w:rsid w:val="009A2784"/>
    <w:rsid w:val="009A278D"/>
    <w:rsid w:val="009A2820"/>
    <w:rsid w:val="009A2B28"/>
    <w:rsid w:val="009A2BE9"/>
    <w:rsid w:val="009A2D16"/>
    <w:rsid w:val="009A2E53"/>
    <w:rsid w:val="009A31FD"/>
    <w:rsid w:val="009A37B1"/>
    <w:rsid w:val="009A38F6"/>
    <w:rsid w:val="009A3927"/>
    <w:rsid w:val="009A3C89"/>
    <w:rsid w:val="009A42C3"/>
    <w:rsid w:val="009A4354"/>
    <w:rsid w:val="009A44A5"/>
    <w:rsid w:val="009A4523"/>
    <w:rsid w:val="009A4BAF"/>
    <w:rsid w:val="009A4D24"/>
    <w:rsid w:val="009A5010"/>
    <w:rsid w:val="009A63D7"/>
    <w:rsid w:val="009A6488"/>
    <w:rsid w:val="009A660A"/>
    <w:rsid w:val="009A6BAE"/>
    <w:rsid w:val="009A6C47"/>
    <w:rsid w:val="009A6C9D"/>
    <w:rsid w:val="009A6D00"/>
    <w:rsid w:val="009A7043"/>
    <w:rsid w:val="009A767A"/>
    <w:rsid w:val="009A79E5"/>
    <w:rsid w:val="009A7C3C"/>
    <w:rsid w:val="009A7F8A"/>
    <w:rsid w:val="009A7F92"/>
    <w:rsid w:val="009B0112"/>
    <w:rsid w:val="009B029D"/>
    <w:rsid w:val="009B079B"/>
    <w:rsid w:val="009B0F05"/>
    <w:rsid w:val="009B1277"/>
    <w:rsid w:val="009B195D"/>
    <w:rsid w:val="009B19ED"/>
    <w:rsid w:val="009B1E5B"/>
    <w:rsid w:val="009B257E"/>
    <w:rsid w:val="009B2985"/>
    <w:rsid w:val="009B29DA"/>
    <w:rsid w:val="009B2C32"/>
    <w:rsid w:val="009B2CD9"/>
    <w:rsid w:val="009B379A"/>
    <w:rsid w:val="009B38AE"/>
    <w:rsid w:val="009B3A73"/>
    <w:rsid w:val="009B422E"/>
    <w:rsid w:val="009B445B"/>
    <w:rsid w:val="009B449B"/>
    <w:rsid w:val="009B477D"/>
    <w:rsid w:val="009B47BB"/>
    <w:rsid w:val="009B4924"/>
    <w:rsid w:val="009B4A90"/>
    <w:rsid w:val="009B4F0D"/>
    <w:rsid w:val="009B4F3C"/>
    <w:rsid w:val="009B51EC"/>
    <w:rsid w:val="009B545E"/>
    <w:rsid w:val="009B55A0"/>
    <w:rsid w:val="009B5879"/>
    <w:rsid w:val="009B5A6C"/>
    <w:rsid w:val="009B6031"/>
    <w:rsid w:val="009B642C"/>
    <w:rsid w:val="009B6454"/>
    <w:rsid w:val="009B645A"/>
    <w:rsid w:val="009B669A"/>
    <w:rsid w:val="009B6954"/>
    <w:rsid w:val="009B6F2E"/>
    <w:rsid w:val="009B71F3"/>
    <w:rsid w:val="009B7846"/>
    <w:rsid w:val="009B7881"/>
    <w:rsid w:val="009B7971"/>
    <w:rsid w:val="009B7CEE"/>
    <w:rsid w:val="009B7D09"/>
    <w:rsid w:val="009B7F5D"/>
    <w:rsid w:val="009C07D0"/>
    <w:rsid w:val="009C0D7C"/>
    <w:rsid w:val="009C0E27"/>
    <w:rsid w:val="009C0ECA"/>
    <w:rsid w:val="009C11FF"/>
    <w:rsid w:val="009C1358"/>
    <w:rsid w:val="009C174B"/>
    <w:rsid w:val="009C1915"/>
    <w:rsid w:val="009C1949"/>
    <w:rsid w:val="009C19AC"/>
    <w:rsid w:val="009C1AC2"/>
    <w:rsid w:val="009C1AF7"/>
    <w:rsid w:val="009C2076"/>
    <w:rsid w:val="009C24CA"/>
    <w:rsid w:val="009C2593"/>
    <w:rsid w:val="009C27C1"/>
    <w:rsid w:val="009C29D9"/>
    <w:rsid w:val="009C2ACD"/>
    <w:rsid w:val="009C2B15"/>
    <w:rsid w:val="009C2E45"/>
    <w:rsid w:val="009C3044"/>
    <w:rsid w:val="009C3989"/>
    <w:rsid w:val="009C3B67"/>
    <w:rsid w:val="009C3E34"/>
    <w:rsid w:val="009C40FB"/>
    <w:rsid w:val="009C417F"/>
    <w:rsid w:val="009C4499"/>
    <w:rsid w:val="009C4614"/>
    <w:rsid w:val="009C4D29"/>
    <w:rsid w:val="009C4D8B"/>
    <w:rsid w:val="009C4EE8"/>
    <w:rsid w:val="009C4FD1"/>
    <w:rsid w:val="009C5743"/>
    <w:rsid w:val="009C57FC"/>
    <w:rsid w:val="009C5AC0"/>
    <w:rsid w:val="009C5EDC"/>
    <w:rsid w:val="009C60D6"/>
    <w:rsid w:val="009C68C5"/>
    <w:rsid w:val="009C6FE1"/>
    <w:rsid w:val="009C72E7"/>
    <w:rsid w:val="009C739C"/>
    <w:rsid w:val="009C7565"/>
    <w:rsid w:val="009C7761"/>
    <w:rsid w:val="009C7B10"/>
    <w:rsid w:val="009C7B43"/>
    <w:rsid w:val="009C7BA1"/>
    <w:rsid w:val="009D00ED"/>
    <w:rsid w:val="009D0115"/>
    <w:rsid w:val="009D01EE"/>
    <w:rsid w:val="009D031D"/>
    <w:rsid w:val="009D061D"/>
    <w:rsid w:val="009D070E"/>
    <w:rsid w:val="009D0811"/>
    <w:rsid w:val="009D0A9E"/>
    <w:rsid w:val="009D0BD5"/>
    <w:rsid w:val="009D0FE4"/>
    <w:rsid w:val="009D1221"/>
    <w:rsid w:val="009D1726"/>
    <w:rsid w:val="009D1B3A"/>
    <w:rsid w:val="009D1BF7"/>
    <w:rsid w:val="009D2118"/>
    <w:rsid w:val="009D2195"/>
    <w:rsid w:val="009D29E2"/>
    <w:rsid w:val="009D2F56"/>
    <w:rsid w:val="009D2F72"/>
    <w:rsid w:val="009D3012"/>
    <w:rsid w:val="009D3085"/>
    <w:rsid w:val="009D36C3"/>
    <w:rsid w:val="009D3816"/>
    <w:rsid w:val="009D39E8"/>
    <w:rsid w:val="009D3FC2"/>
    <w:rsid w:val="009D4209"/>
    <w:rsid w:val="009D4353"/>
    <w:rsid w:val="009D4604"/>
    <w:rsid w:val="009D4AF1"/>
    <w:rsid w:val="009D4E2D"/>
    <w:rsid w:val="009D5228"/>
    <w:rsid w:val="009D5350"/>
    <w:rsid w:val="009D535F"/>
    <w:rsid w:val="009D5582"/>
    <w:rsid w:val="009D56E7"/>
    <w:rsid w:val="009D5B40"/>
    <w:rsid w:val="009D5BF3"/>
    <w:rsid w:val="009D5CB3"/>
    <w:rsid w:val="009D5E2B"/>
    <w:rsid w:val="009D674F"/>
    <w:rsid w:val="009D6B08"/>
    <w:rsid w:val="009D6CB6"/>
    <w:rsid w:val="009D6D37"/>
    <w:rsid w:val="009D6E4F"/>
    <w:rsid w:val="009D7037"/>
    <w:rsid w:val="009D7203"/>
    <w:rsid w:val="009D763C"/>
    <w:rsid w:val="009D7987"/>
    <w:rsid w:val="009D7A87"/>
    <w:rsid w:val="009D7AD0"/>
    <w:rsid w:val="009E0075"/>
    <w:rsid w:val="009E0181"/>
    <w:rsid w:val="009E038C"/>
    <w:rsid w:val="009E041D"/>
    <w:rsid w:val="009E0C0B"/>
    <w:rsid w:val="009E1338"/>
    <w:rsid w:val="009E1B3A"/>
    <w:rsid w:val="009E1C6A"/>
    <w:rsid w:val="009E1EAE"/>
    <w:rsid w:val="009E27AA"/>
    <w:rsid w:val="009E290E"/>
    <w:rsid w:val="009E2DE8"/>
    <w:rsid w:val="009E2F4D"/>
    <w:rsid w:val="009E31D7"/>
    <w:rsid w:val="009E3274"/>
    <w:rsid w:val="009E32EC"/>
    <w:rsid w:val="009E3390"/>
    <w:rsid w:val="009E389B"/>
    <w:rsid w:val="009E42E3"/>
    <w:rsid w:val="009E442F"/>
    <w:rsid w:val="009E448C"/>
    <w:rsid w:val="009E44C7"/>
    <w:rsid w:val="009E4690"/>
    <w:rsid w:val="009E4880"/>
    <w:rsid w:val="009E4925"/>
    <w:rsid w:val="009E49E0"/>
    <w:rsid w:val="009E4CD5"/>
    <w:rsid w:val="009E4D9A"/>
    <w:rsid w:val="009E51BF"/>
    <w:rsid w:val="009E53F3"/>
    <w:rsid w:val="009E541E"/>
    <w:rsid w:val="009E5880"/>
    <w:rsid w:val="009E5B04"/>
    <w:rsid w:val="009E5D61"/>
    <w:rsid w:val="009E6471"/>
    <w:rsid w:val="009E649D"/>
    <w:rsid w:val="009E68E2"/>
    <w:rsid w:val="009E6965"/>
    <w:rsid w:val="009E6AD0"/>
    <w:rsid w:val="009E6D4A"/>
    <w:rsid w:val="009E6D58"/>
    <w:rsid w:val="009E6E59"/>
    <w:rsid w:val="009E6F29"/>
    <w:rsid w:val="009E7102"/>
    <w:rsid w:val="009E73B6"/>
    <w:rsid w:val="009E76B1"/>
    <w:rsid w:val="009E7A8A"/>
    <w:rsid w:val="009E7BEB"/>
    <w:rsid w:val="009E7D9B"/>
    <w:rsid w:val="009E7DDC"/>
    <w:rsid w:val="009E7EC5"/>
    <w:rsid w:val="009F0160"/>
    <w:rsid w:val="009F02BC"/>
    <w:rsid w:val="009F02FC"/>
    <w:rsid w:val="009F082D"/>
    <w:rsid w:val="009F0BF8"/>
    <w:rsid w:val="009F0FAC"/>
    <w:rsid w:val="009F1057"/>
    <w:rsid w:val="009F137B"/>
    <w:rsid w:val="009F1399"/>
    <w:rsid w:val="009F14DC"/>
    <w:rsid w:val="009F1557"/>
    <w:rsid w:val="009F15C5"/>
    <w:rsid w:val="009F1CD4"/>
    <w:rsid w:val="009F2AAF"/>
    <w:rsid w:val="009F2D98"/>
    <w:rsid w:val="009F2FC1"/>
    <w:rsid w:val="009F3304"/>
    <w:rsid w:val="009F35BB"/>
    <w:rsid w:val="009F37DD"/>
    <w:rsid w:val="009F3C68"/>
    <w:rsid w:val="009F3DBC"/>
    <w:rsid w:val="009F41EA"/>
    <w:rsid w:val="009F42BF"/>
    <w:rsid w:val="009F42F5"/>
    <w:rsid w:val="009F47EB"/>
    <w:rsid w:val="009F483E"/>
    <w:rsid w:val="009F4953"/>
    <w:rsid w:val="009F4968"/>
    <w:rsid w:val="009F4C83"/>
    <w:rsid w:val="009F4D0D"/>
    <w:rsid w:val="009F4E49"/>
    <w:rsid w:val="009F4F59"/>
    <w:rsid w:val="009F5488"/>
    <w:rsid w:val="009F5634"/>
    <w:rsid w:val="009F56CB"/>
    <w:rsid w:val="009F5F12"/>
    <w:rsid w:val="009F5F30"/>
    <w:rsid w:val="009F613B"/>
    <w:rsid w:val="009F6224"/>
    <w:rsid w:val="009F6265"/>
    <w:rsid w:val="009F67DE"/>
    <w:rsid w:val="009F6EBE"/>
    <w:rsid w:val="009F6EC9"/>
    <w:rsid w:val="009F7232"/>
    <w:rsid w:val="009F731E"/>
    <w:rsid w:val="009F797F"/>
    <w:rsid w:val="009F7A37"/>
    <w:rsid w:val="009F7A71"/>
    <w:rsid w:val="009F7D9F"/>
    <w:rsid w:val="00A0033A"/>
    <w:rsid w:val="00A005B2"/>
    <w:rsid w:val="00A0077B"/>
    <w:rsid w:val="00A0079F"/>
    <w:rsid w:val="00A012C8"/>
    <w:rsid w:val="00A0151B"/>
    <w:rsid w:val="00A01658"/>
    <w:rsid w:val="00A0190C"/>
    <w:rsid w:val="00A01A99"/>
    <w:rsid w:val="00A01D72"/>
    <w:rsid w:val="00A021BF"/>
    <w:rsid w:val="00A021FC"/>
    <w:rsid w:val="00A02502"/>
    <w:rsid w:val="00A030C7"/>
    <w:rsid w:val="00A030CE"/>
    <w:rsid w:val="00A03188"/>
    <w:rsid w:val="00A03816"/>
    <w:rsid w:val="00A03BFF"/>
    <w:rsid w:val="00A03FBF"/>
    <w:rsid w:val="00A043CC"/>
    <w:rsid w:val="00A04551"/>
    <w:rsid w:val="00A046C8"/>
    <w:rsid w:val="00A04797"/>
    <w:rsid w:val="00A048DA"/>
    <w:rsid w:val="00A04AE1"/>
    <w:rsid w:val="00A04C8A"/>
    <w:rsid w:val="00A0500E"/>
    <w:rsid w:val="00A05020"/>
    <w:rsid w:val="00A054E0"/>
    <w:rsid w:val="00A05502"/>
    <w:rsid w:val="00A05639"/>
    <w:rsid w:val="00A057F3"/>
    <w:rsid w:val="00A060D1"/>
    <w:rsid w:val="00A06A43"/>
    <w:rsid w:val="00A0708A"/>
    <w:rsid w:val="00A07542"/>
    <w:rsid w:val="00A078A7"/>
    <w:rsid w:val="00A107AC"/>
    <w:rsid w:val="00A10B43"/>
    <w:rsid w:val="00A10B79"/>
    <w:rsid w:val="00A10C42"/>
    <w:rsid w:val="00A10E79"/>
    <w:rsid w:val="00A11031"/>
    <w:rsid w:val="00A1136D"/>
    <w:rsid w:val="00A114D4"/>
    <w:rsid w:val="00A11601"/>
    <w:rsid w:val="00A116C6"/>
    <w:rsid w:val="00A11A28"/>
    <w:rsid w:val="00A11E84"/>
    <w:rsid w:val="00A11FE4"/>
    <w:rsid w:val="00A120C6"/>
    <w:rsid w:val="00A12594"/>
    <w:rsid w:val="00A12720"/>
    <w:rsid w:val="00A128A5"/>
    <w:rsid w:val="00A12976"/>
    <w:rsid w:val="00A12EC8"/>
    <w:rsid w:val="00A13136"/>
    <w:rsid w:val="00A13419"/>
    <w:rsid w:val="00A13641"/>
    <w:rsid w:val="00A137EF"/>
    <w:rsid w:val="00A13971"/>
    <w:rsid w:val="00A139EF"/>
    <w:rsid w:val="00A13E21"/>
    <w:rsid w:val="00A14374"/>
    <w:rsid w:val="00A1452E"/>
    <w:rsid w:val="00A14C78"/>
    <w:rsid w:val="00A14E58"/>
    <w:rsid w:val="00A14E7B"/>
    <w:rsid w:val="00A1534C"/>
    <w:rsid w:val="00A157AE"/>
    <w:rsid w:val="00A15AF2"/>
    <w:rsid w:val="00A15C7B"/>
    <w:rsid w:val="00A15D27"/>
    <w:rsid w:val="00A15DB4"/>
    <w:rsid w:val="00A16079"/>
    <w:rsid w:val="00A160DD"/>
    <w:rsid w:val="00A16353"/>
    <w:rsid w:val="00A163A0"/>
    <w:rsid w:val="00A16473"/>
    <w:rsid w:val="00A16575"/>
    <w:rsid w:val="00A167E9"/>
    <w:rsid w:val="00A1689B"/>
    <w:rsid w:val="00A17111"/>
    <w:rsid w:val="00A17597"/>
    <w:rsid w:val="00A17740"/>
    <w:rsid w:val="00A1788A"/>
    <w:rsid w:val="00A17B82"/>
    <w:rsid w:val="00A17FB5"/>
    <w:rsid w:val="00A203E2"/>
    <w:rsid w:val="00A20561"/>
    <w:rsid w:val="00A2099B"/>
    <w:rsid w:val="00A20A78"/>
    <w:rsid w:val="00A20D2A"/>
    <w:rsid w:val="00A20D59"/>
    <w:rsid w:val="00A21122"/>
    <w:rsid w:val="00A21354"/>
    <w:rsid w:val="00A21372"/>
    <w:rsid w:val="00A213CB"/>
    <w:rsid w:val="00A21484"/>
    <w:rsid w:val="00A21682"/>
    <w:rsid w:val="00A21C7B"/>
    <w:rsid w:val="00A21DFE"/>
    <w:rsid w:val="00A21FEA"/>
    <w:rsid w:val="00A22695"/>
    <w:rsid w:val="00A22996"/>
    <w:rsid w:val="00A229D7"/>
    <w:rsid w:val="00A22B05"/>
    <w:rsid w:val="00A22C08"/>
    <w:rsid w:val="00A22C38"/>
    <w:rsid w:val="00A22C94"/>
    <w:rsid w:val="00A22D37"/>
    <w:rsid w:val="00A22D6B"/>
    <w:rsid w:val="00A2335F"/>
    <w:rsid w:val="00A23435"/>
    <w:rsid w:val="00A2371F"/>
    <w:rsid w:val="00A239C4"/>
    <w:rsid w:val="00A23D1B"/>
    <w:rsid w:val="00A23DE2"/>
    <w:rsid w:val="00A24191"/>
    <w:rsid w:val="00A243DC"/>
    <w:rsid w:val="00A244B6"/>
    <w:rsid w:val="00A2475B"/>
    <w:rsid w:val="00A24773"/>
    <w:rsid w:val="00A24A81"/>
    <w:rsid w:val="00A24DC6"/>
    <w:rsid w:val="00A24FE5"/>
    <w:rsid w:val="00A2512A"/>
    <w:rsid w:val="00A253F3"/>
    <w:rsid w:val="00A2562C"/>
    <w:rsid w:val="00A2571B"/>
    <w:rsid w:val="00A260A3"/>
    <w:rsid w:val="00A26497"/>
    <w:rsid w:val="00A26553"/>
    <w:rsid w:val="00A2665E"/>
    <w:rsid w:val="00A26773"/>
    <w:rsid w:val="00A26AFA"/>
    <w:rsid w:val="00A26B36"/>
    <w:rsid w:val="00A26B48"/>
    <w:rsid w:val="00A26BC5"/>
    <w:rsid w:val="00A2714F"/>
    <w:rsid w:val="00A27224"/>
    <w:rsid w:val="00A2727D"/>
    <w:rsid w:val="00A274B7"/>
    <w:rsid w:val="00A27671"/>
    <w:rsid w:val="00A27D06"/>
    <w:rsid w:val="00A30015"/>
    <w:rsid w:val="00A302C0"/>
    <w:rsid w:val="00A303EC"/>
    <w:rsid w:val="00A307D5"/>
    <w:rsid w:val="00A30C0D"/>
    <w:rsid w:val="00A30C3B"/>
    <w:rsid w:val="00A30D1F"/>
    <w:rsid w:val="00A30E34"/>
    <w:rsid w:val="00A30EC0"/>
    <w:rsid w:val="00A30F60"/>
    <w:rsid w:val="00A310E6"/>
    <w:rsid w:val="00A315F6"/>
    <w:rsid w:val="00A31D79"/>
    <w:rsid w:val="00A31F1B"/>
    <w:rsid w:val="00A32001"/>
    <w:rsid w:val="00A3219D"/>
    <w:rsid w:val="00A321B4"/>
    <w:rsid w:val="00A32386"/>
    <w:rsid w:val="00A3287A"/>
    <w:rsid w:val="00A32A72"/>
    <w:rsid w:val="00A32DA3"/>
    <w:rsid w:val="00A334EA"/>
    <w:rsid w:val="00A335FB"/>
    <w:rsid w:val="00A33A0F"/>
    <w:rsid w:val="00A33ABE"/>
    <w:rsid w:val="00A33B71"/>
    <w:rsid w:val="00A33BCA"/>
    <w:rsid w:val="00A33F11"/>
    <w:rsid w:val="00A342FC"/>
    <w:rsid w:val="00A34680"/>
    <w:rsid w:val="00A347C2"/>
    <w:rsid w:val="00A3491A"/>
    <w:rsid w:val="00A34BCD"/>
    <w:rsid w:val="00A34BF3"/>
    <w:rsid w:val="00A357B6"/>
    <w:rsid w:val="00A3591E"/>
    <w:rsid w:val="00A35AED"/>
    <w:rsid w:val="00A35D4F"/>
    <w:rsid w:val="00A35F55"/>
    <w:rsid w:val="00A35FFF"/>
    <w:rsid w:val="00A364B0"/>
    <w:rsid w:val="00A365A4"/>
    <w:rsid w:val="00A375FE"/>
    <w:rsid w:val="00A376B8"/>
    <w:rsid w:val="00A3779B"/>
    <w:rsid w:val="00A400C2"/>
    <w:rsid w:val="00A403D5"/>
    <w:rsid w:val="00A404BC"/>
    <w:rsid w:val="00A404CC"/>
    <w:rsid w:val="00A405A2"/>
    <w:rsid w:val="00A405B1"/>
    <w:rsid w:val="00A40AD3"/>
    <w:rsid w:val="00A41972"/>
    <w:rsid w:val="00A41A57"/>
    <w:rsid w:val="00A41CAF"/>
    <w:rsid w:val="00A420E1"/>
    <w:rsid w:val="00A4217C"/>
    <w:rsid w:val="00A422A7"/>
    <w:rsid w:val="00A42522"/>
    <w:rsid w:val="00A426D9"/>
    <w:rsid w:val="00A429DC"/>
    <w:rsid w:val="00A42BA3"/>
    <w:rsid w:val="00A42C1E"/>
    <w:rsid w:val="00A42EA1"/>
    <w:rsid w:val="00A42EC5"/>
    <w:rsid w:val="00A431FA"/>
    <w:rsid w:val="00A43594"/>
    <w:rsid w:val="00A438C2"/>
    <w:rsid w:val="00A43A38"/>
    <w:rsid w:val="00A43BF5"/>
    <w:rsid w:val="00A43C1D"/>
    <w:rsid w:val="00A43E53"/>
    <w:rsid w:val="00A43F5B"/>
    <w:rsid w:val="00A440E8"/>
    <w:rsid w:val="00A4450A"/>
    <w:rsid w:val="00A44608"/>
    <w:rsid w:val="00A44742"/>
    <w:rsid w:val="00A4475C"/>
    <w:rsid w:val="00A449A4"/>
    <w:rsid w:val="00A44B1A"/>
    <w:rsid w:val="00A45100"/>
    <w:rsid w:val="00A45184"/>
    <w:rsid w:val="00A453FD"/>
    <w:rsid w:val="00A45571"/>
    <w:rsid w:val="00A455D0"/>
    <w:rsid w:val="00A45690"/>
    <w:rsid w:val="00A456BC"/>
    <w:rsid w:val="00A4577E"/>
    <w:rsid w:val="00A458A1"/>
    <w:rsid w:val="00A45C99"/>
    <w:rsid w:val="00A45CA4"/>
    <w:rsid w:val="00A45EE8"/>
    <w:rsid w:val="00A46227"/>
    <w:rsid w:val="00A46527"/>
    <w:rsid w:val="00A4656D"/>
    <w:rsid w:val="00A467A6"/>
    <w:rsid w:val="00A46D0C"/>
    <w:rsid w:val="00A46E8B"/>
    <w:rsid w:val="00A470FC"/>
    <w:rsid w:val="00A4712F"/>
    <w:rsid w:val="00A473E5"/>
    <w:rsid w:val="00A47B0D"/>
    <w:rsid w:val="00A47C75"/>
    <w:rsid w:val="00A47E0A"/>
    <w:rsid w:val="00A47EAD"/>
    <w:rsid w:val="00A502AB"/>
    <w:rsid w:val="00A50416"/>
    <w:rsid w:val="00A506BB"/>
    <w:rsid w:val="00A50833"/>
    <w:rsid w:val="00A50E08"/>
    <w:rsid w:val="00A50F5A"/>
    <w:rsid w:val="00A511D6"/>
    <w:rsid w:val="00A518B8"/>
    <w:rsid w:val="00A51DC1"/>
    <w:rsid w:val="00A521E9"/>
    <w:rsid w:val="00A524B2"/>
    <w:rsid w:val="00A524C1"/>
    <w:rsid w:val="00A524EF"/>
    <w:rsid w:val="00A52625"/>
    <w:rsid w:val="00A526C2"/>
    <w:rsid w:val="00A5283D"/>
    <w:rsid w:val="00A52893"/>
    <w:rsid w:val="00A52A52"/>
    <w:rsid w:val="00A52C74"/>
    <w:rsid w:val="00A52D88"/>
    <w:rsid w:val="00A52F70"/>
    <w:rsid w:val="00A53237"/>
    <w:rsid w:val="00A536BD"/>
    <w:rsid w:val="00A53AD7"/>
    <w:rsid w:val="00A53CCC"/>
    <w:rsid w:val="00A53D51"/>
    <w:rsid w:val="00A53EC7"/>
    <w:rsid w:val="00A541E3"/>
    <w:rsid w:val="00A5442A"/>
    <w:rsid w:val="00A5448F"/>
    <w:rsid w:val="00A54793"/>
    <w:rsid w:val="00A54A32"/>
    <w:rsid w:val="00A54B99"/>
    <w:rsid w:val="00A54C46"/>
    <w:rsid w:val="00A54FC8"/>
    <w:rsid w:val="00A55063"/>
    <w:rsid w:val="00A5524A"/>
    <w:rsid w:val="00A55406"/>
    <w:rsid w:val="00A55793"/>
    <w:rsid w:val="00A557E8"/>
    <w:rsid w:val="00A55924"/>
    <w:rsid w:val="00A55A42"/>
    <w:rsid w:val="00A55B85"/>
    <w:rsid w:val="00A55DCE"/>
    <w:rsid w:val="00A560B8"/>
    <w:rsid w:val="00A560F4"/>
    <w:rsid w:val="00A56337"/>
    <w:rsid w:val="00A56403"/>
    <w:rsid w:val="00A564E8"/>
    <w:rsid w:val="00A56613"/>
    <w:rsid w:val="00A56A4F"/>
    <w:rsid w:val="00A56B2D"/>
    <w:rsid w:val="00A56CDB"/>
    <w:rsid w:val="00A5748E"/>
    <w:rsid w:val="00A575F9"/>
    <w:rsid w:val="00A579F3"/>
    <w:rsid w:val="00A57E60"/>
    <w:rsid w:val="00A57FA9"/>
    <w:rsid w:val="00A6033A"/>
    <w:rsid w:val="00A606BB"/>
    <w:rsid w:val="00A608DD"/>
    <w:rsid w:val="00A60B14"/>
    <w:rsid w:val="00A61072"/>
    <w:rsid w:val="00A610F3"/>
    <w:rsid w:val="00A61119"/>
    <w:rsid w:val="00A6111C"/>
    <w:rsid w:val="00A61649"/>
    <w:rsid w:val="00A61B8D"/>
    <w:rsid w:val="00A62081"/>
    <w:rsid w:val="00A6208E"/>
    <w:rsid w:val="00A620B6"/>
    <w:rsid w:val="00A621BA"/>
    <w:rsid w:val="00A623E0"/>
    <w:rsid w:val="00A62440"/>
    <w:rsid w:val="00A6270C"/>
    <w:rsid w:val="00A62A6A"/>
    <w:rsid w:val="00A632C0"/>
    <w:rsid w:val="00A6364E"/>
    <w:rsid w:val="00A636A2"/>
    <w:rsid w:val="00A63782"/>
    <w:rsid w:val="00A63991"/>
    <w:rsid w:val="00A63B13"/>
    <w:rsid w:val="00A64510"/>
    <w:rsid w:val="00A64775"/>
    <w:rsid w:val="00A64A74"/>
    <w:rsid w:val="00A64CCB"/>
    <w:rsid w:val="00A64D16"/>
    <w:rsid w:val="00A64DBE"/>
    <w:rsid w:val="00A64F86"/>
    <w:rsid w:val="00A650F6"/>
    <w:rsid w:val="00A6539C"/>
    <w:rsid w:val="00A65797"/>
    <w:rsid w:val="00A65869"/>
    <w:rsid w:val="00A659DB"/>
    <w:rsid w:val="00A65AA1"/>
    <w:rsid w:val="00A65D4A"/>
    <w:rsid w:val="00A65DA4"/>
    <w:rsid w:val="00A65E50"/>
    <w:rsid w:val="00A66088"/>
    <w:rsid w:val="00A66273"/>
    <w:rsid w:val="00A66575"/>
    <w:rsid w:val="00A66622"/>
    <w:rsid w:val="00A666E5"/>
    <w:rsid w:val="00A667FB"/>
    <w:rsid w:val="00A66822"/>
    <w:rsid w:val="00A669BF"/>
    <w:rsid w:val="00A66A1C"/>
    <w:rsid w:val="00A6700F"/>
    <w:rsid w:val="00A671A7"/>
    <w:rsid w:val="00A674A7"/>
    <w:rsid w:val="00A67C93"/>
    <w:rsid w:val="00A67DCD"/>
    <w:rsid w:val="00A67DD7"/>
    <w:rsid w:val="00A7001C"/>
    <w:rsid w:val="00A7037B"/>
    <w:rsid w:val="00A70406"/>
    <w:rsid w:val="00A70507"/>
    <w:rsid w:val="00A710E7"/>
    <w:rsid w:val="00A71149"/>
    <w:rsid w:val="00A712B0"/>
    <w:rsid w:val="00A71499"/>
    <w:rsid w:val="00A715FF"/>
    <w:rsid w:val="00A7162E"/>
    <w:rsid w:val="00A71D4E"/>
    <w:rsid w:val="00A71FBE"/>
    <w:rsid w:val="00A72038"/>
    <w:rsid w:val="00A7253B"/>
    <w:rsid w:val="00A72CDB"/>
    <w:rsid w:val="00A73277"/>
    <w:rsid w:val="00A73C56"/>
    <w:rsid w:val="00A73CEC"/>
    <w:rsid w:val="00A7404D"/>
    <w:rsid w:val="00A74B2D"/>
    <w:rsid w:val="00A74B31"/>
    <w:rsid w:val="00A74C77"/>
    <w:rsid w:val="00A74C86"/>
    <w:rsid w:val="00A74C95"/>
    <w:rsid w:val="00A74D34"/>
    <w:rsid w:val="00A74D86"/>
    <w:rsid w:val="00A7501F"/>
    <w:rsid w:val="00A752EC"/>
    <w:rsid w:val="00A75642"/>
    <w:rsid w:val="00A75773"/>
    <w:rsid w:val="00A757A0"/>
    <w:rsid w:val="00A75B57"/>
    <w:rsid w:val="00A75D81"/>
    <w:rsid w:val="00A75EDA"/>
    <w:rsid w:val="00A75F71"/>
    <w:rsid w:val="00A76177"/>
    <w:rsid w:val="00A76296"/>
    <w:rsid w:val="00A76CE6"/>
    <w:rsid w:val="00A76E0A"/>
    <w:rsid w:val="00A77014"/>
    <w:rsid w:val="00A775D3"/>
    <w:rsid w:val="00A77694"/>
    <w:rsid w:val="00A778F6"/>
    <w:rsid w:val="00A77FEB"/>
    <w:rsid w:val="00A80205"/>
    <w:rsid w:val="00A803A9"/>
    <w:rsid w:val="00A803D7"/>
    <w:rsid w:val="00A80791"/>
    <w:rsid w:val="00A80AA8"/>
    <w:rsid w:val="00A80CA3"/>
    <w:rsid w:val="00A81006"/>
    <w:rsid w:val="00A811FC"/>
    <w:rsid w:val="00A81748"/>
    <w:rsid w:val="00A8179E"/>
    <w:rsid w:val="00A81D01"/>
    <w:rsid w:val="00A81D54"/>
    <w:rsid w:val="00A81E4F"/>
    <w:rsid w:val="00A81E55"/>
    <w:rsid w:val="00A82616"/>
    <w:rsid w:val="00A82663"/>
    <w:rsid w:val="00A82A6A"/>
    <w:rsid w:val="00A82C4F"/>
    <w:rsid w:val="00A82C88"/>
    <w:rsid w:val="00A8328C"/>
    <w:rsid w:val="00A83A3C"/>
    <w:rsid w:val="00A83D23"/>
    <w:rsid w:val="00A84079"/>
    <w:rsid w:val="00A842A5"/>
    <w:rsid w:val="00A84380"/>
    <w:rsid w:val="00A8456A"/>
    <w:rsid w:val="00A8476E"/>
    <w:rsid w:val="00A847DC"/>
    <w:rsid w:val="00A847DF"/>
    <w:rsid w:val="00A84A52"/>
    <w:rsid w:val="00A84AA2"/>
    <w:rsid w:val="00A84CE4"/>
    <w:rsid w:val="00A84E2C"/>
    <w:rsid w:val="00A85699"/>
    <w:rsid w:val="00A8574E"/>
    <w:rsid w:val="00A85B9F"/>
    <w:rsid w:val="00A85C59"/>
    <w:rsid w:val="00A85F10"/>
    <w:rsid w:val="00A85F90"/>
    <w:rsid w:val="00A86090"/>
    <w:rsid w:val="00A866D0"/>
    <w:rsid w:val="00A867B2"/>
    <w:rsid w:val="00A8691B"/>
    <w:rsid w:val="00A86E9B"/>
    <w:rsid w:val="00A871CA"/>
    <w:rsid w:val="00A87549"/>
    <w:rsid w:val="00A87618"/>
    <w:rsid w:val="00A87651"/>
    <w:rsid w:val="00A879FD"/>
    <w:rsid w:val="00A87B37"/>
    <w:rsid w:val="00A87B41"/>
    <w:rsid w:val="00A87CDC"/>
    <w:rsid w:val="00A87CDE"/>
    <w:rsid w:val="00A87EDC"/>
    <w:rsid w:val="00A90156"/>
    <w:rsid w:val="00A90882"/>
    <w:rsid w:val="00A908B8"/>
    <w:rsid w:val="00A90AE8"/>
    <w:rsid w:val="00A913C7"/>
    <w:rsid w:val="00A9146C"/>
    <w:rsid w:val="00A915F4"/>
    <w:rsid w:val="00A91A15"/>
    <w:rsid w:val="00A91D89"/>
    <w:rsid w:val="00A922AF"/>
    <w:rsid w:val="00A92A5D"/>
    <w:rsid w:val="00A92C16"/>
    <w:rsid w:val="00A92C5E"/>
    <w:rsid w:val="00A92EE3"/>
    <w:rsid w:val="00A9337E"/>
    <w:rsid w:val="00A93405"/>
    <w:rsid w:val="00A934FD"/>
    <w:rsid w:val="00A9358B"/>
    <w:rsid w:val="00A93D86"/>
    <w:rsid w:val="00A93E1C"/>
    <w:rsid w:val="00A93F61"/>
    <w:rsid w:val="00A93FD5"/>
    <w:rsid w:val="00A93FE9"/>
    <w:rsid w:val="00A94348"/>
    <w:rsid w:val="00A9467F"/>
    <w:rsid w:val="00A94816"/>
    <w:rsid w:val="00A94C68"/>
    <w:rsid w:val="00A94DAA"/>
    <w:rsid w:val="00A94E19"/>
    <w:rsid w:val="00A94E70"/>
    <w:rsid w:val="00A95152"/>
    <w:rsid w:val="00A95229"/>
    <w:rsid w:val="00A955D1"/>
    <w:rsid w:val="00A95933"/>
    <w:rsid w:val="00A95A72"/>
    <w:rsid w:val="00A961AD"/>
    <w:rsid w:val="00A965E2"/>
    <w:rsid w:val="00A96C56"/>
    <w:rsid w:val="00A96F04"/>
    <w:rsid w:val="00A96F94"/>
    <w:rsid w:val="00A96FEC"/>
    <w:rsid w:val="00A97425"/>
    <w:rsid w:val="00A97885"/>
    <w:rsid w:val="00A97CC7"/>
    <w:rsid w:val="00A97D7F"/>
    <w:rsid w:val="00AA01CD"/>
    <w:rsid w:val="00AA0248"/>
    <w:rsid w:val="00AA0281"/>
    <w:rsid w:val="00AA07D8"/>
    <w:rsid w:val="00AA094F"/>
    <w:rsid w:val="00AA0981"/>
    <w:rsid w:val="00AA0A2C"/>
    <w:rsid w:val="00AA168C"/>
    <w:rsid w:val="00AA181D"/>
    <w:rsid w:val="00AA1870"/>
    <w:rsid w:val="00AA196B"/>
    <w:rsid w:val="00AA1A73"/>
    <w:rsid w:val="00AA1F60"/>
    <w:rsid w:val="00AA21C7"/>
    <w:rsid w:val="00AA24B1"/>
    <w:rsid w:val="00AA2509"/>
    <w:rsid w:val="00AA2548"/>
    <w:rsid w:val="00AA29B4"/>
    <w:rsid w:val="00AA2C15"/>
    <w:rsid w:val="00AA3166"/>
    <w:rsid w:val="00AA32C0"/>
    <w:rsid w:val="00AA3408"/>
    <w:rsid w:val="00AA3867"/>
    <w:rsid w:val="00AA3910"/>
    <w:rsid w:val="00AA39F5"/>
    <w:rsid w:val="00AA3A41"/>
    <w:rsid w:val="00AA3AE9"/>
    <w:rsid w:val="00AA3B9E"/>
    <w:rsid w:val="00AA3BFC"/>
    <w:rsid w:val="00AA3CB2"/>
    <w:rsid w:val="00AA432C"/>
    <w:rsid w:val="00AA4659"/>
    <w:rsid w:val="00AA4660"/>
    <w:rsid w:val="00AA496D"/>
    <w:rsid w:val="00AA49A3"/>
    <w:rsid w:val="00AA4A59"/>
    <w:rsid w:val="00AA528A"/>
    <w:rsid w:val="00AA56CC"/>
    <w:rsid w:val="00AA5710"/>
    <w:rsid w:val="00AA57CA"/>
    <w:rsid w:val="00AA5B1A"/>
    <w:rsid w:val="00AA5BCD"/>
    <w:rsid w:val="00AA5DD4"/>
    <w:rsid w:val="00AA5DE7"/>
    <w:rsid w:val="00AA62EC"/>
    <w:rsid w:val="00AA6736"/>
    <w:rsid w:val="00AA67AF"/>
    <w:rsid w:val="00AA7034"/>
    <w:rsid w:val="00AA7064"/>
    <w:rsid w:val="00AA71C9"/>
    <w:rsid w:val="00AA74D3"/>
    <w:rsid w:val="00AA7534"/>
    <w:rsid w:val="00AA7659"/>
    <w:rsid w:val="00AA767D"/>
    <w:rsid w:val="00AA77D7"/>
    <w:rsid w:val="00AA79BC"/>
    <w:rsid w:val="00AA7B1E"/>
    <w:rsid w:val="00AA7E8F"/>
    <w:rsid w:val="00AB018E"/>
    <w:rsid w:val="00AB031C"/>
    <w:rsid w:val="00AB0411"/>
    <w:rsid w:val="00AB0679"/>
    <w:rsid w:val="00AB07DB"/>
    <w:rsid w:val="00AB0ED3"/>
    <w:rsid w:val="00AB15B8"/>
    <w:rsid w:val="00AB1997"/>
    <w:rsid w:val="00AB1C2A"/>
    <w:rsid w:val="00AB25A1"/>
    <w:rsid w:val="00AB28FD"/>
    <w:rsid w:val="00AB290E"/>
    <w:rsid w:val="00AB2F77"/>
    <w:rsid w:val="00AB2F8D"/>
    <w:rsid w:val="00AB3349"/>
    <w:rsid w:val="00AB3753"/>
    <w:rsid w:val="00AB3779"/>
    <w:rsid w:val="00AB3821"/>
    <w:rsid w:val="00AB396B"/>
    <w:rsid w:val="00AB3986"/>
    <w:rsid w:val="00AB39C9"/>
    <w:rsid w:val="00AB3BEB"/>
    <w:rsid w:val="00AB435B"/>
    <w:rsid w:val="00AB44E3"/>
    <w:rsid w:val="00AB469F"/>
    <w:rsid w:val="00AB49C3"/>
    <w:rsid w:val="00AB4DAA"/>
    <w:rsid w:val="00AB568E"/>
    <w:rsid w:val="00AB5AFC"/>
    <w:rsid w:val="00AB5B7C"/>
    <w:rsid w:val="00AB5C90"/>
    <w:rsid w:val="00AB5CC9"/>
    <w:rsid w:val="00AB5D5E"/>
    <w:rsid w:val="00AB600E"/>
    <w:rsid w:val="00AB63CA"/>
    <w:rsid w:val="00AB6459"/>
    <w:rsid w:val="00AB654A"/>
    <w:rsid w:val="00AB6955"/>
    <w:rsid w:val="00AB6D1C"/>
    <w:rsid w:val="00AB6DB5"/>
    <w:rsid w:val="00AB6E83"/>
    <w:rsid w:val="00AB6F3B"/>
    <w:rsid w:val="00AB7259"/>
    <w:rsid w:val="00AB745A"/>
    <w:rsid w:val="00AB7572"/>
    <w:rsid w:val="00AB7894"/>
    <w:rsid w:val="00AB7EA3"/>
    <w:rsid w:val="00AC07A9"/>
    <w:rsid w:val="00AC0C1D"/>
    <w:rsid w:val="00AC0D41"/>
    <w:rsid w:val="00AC0DBA"/>
    <w:rsid w:val="00AC0E94"/>
    <w:rsid w:val="00AC10E8"/>
    <w:rsid w:val="00AC11DA"/>
    <w:rsid w:val="00AC1494"/>
    <w:rsid w:val="00AC157D"/>
    <w:rsid w:val="00AC161F"/>
    <w:rsid w:val="00AC1993"/>
    <w:rsid w:val="00AC1C49"/>
    <w:rsid w:val="00AC1FCA"/>
    <w:rsid w:val="00AC216C"/>
    <w:rsid w:val="00AC231C"/>
    <w:rsid w:val="00AC23AC"/>
    <w:rsid w:val="00AC24EA"/>
    <w:rsid w:val="00AC252D"/>
    <w:rsid w:val="00AC29D1"/>
    <w:rsid w:val="00AC2AA4"/>
    <w:rsid w:val="00AC2EBE"/>
    <w:rsid w:val="00AC2FFC"/>
    <w:rsid w:val="00AC30A7"/>
    <w:rsid w:val="00AC30C3"/>
    <w:rsid w:val="00AC317A"/>
    <w:rsid w:val="00AC321D"/>
    <w:rsid w:val="00AC34A5"/>
    <w:rsid w:val="00AC388E"/>
    <w:rsid w:val="00AC3AFE"/>
    <w:rsid w:val="00AC3BF6"/>
    <w:rsid w:val="00AC3D1C"/>
    <w:rsid w:val="00AC3EF4"/>
    <w:rsid w:val="00AC3F81"/>
    <w:rsid w:val="00AC400E"/>
    <w:rsid w:val="00AC424A"/>
    <w:rsid w:val="00AC4337"/>
    <w:rsid w:val="00AC45C7"/>
    <w:rsid w:val="00AC49F2"/>
    <w:rsid w:val="00AC4AC7"/>
    <w:rsid w:val="00AC4EEC"/>
    <w:rsid w:val="00AC504F"/>
    <w:rsid w:val="00AC5240"/>
    <w:rsid w:val="00AC5326"/>
    <w:rsid w:val="00AC5365"/>
    <w:rsid w:val="00AC5583"/>
    <w:rsid w:val="00AC562A"/>
    <w:rsid w:val="00AC565F"/>
    <w:rsid w:val="00AC59D8"/>
    <w:rsid w:val="00AC5A8C"/>
    <w:rsid w:val="00AC5B11"/>
    <w:rsid w:val="00AC6096"/>
    <w:rsid w:val="00AC60A7"/>
    <w:rsid w:val="00AC63C9"/>
    <w:rsid w:val="00AC688D"/>
    <w:rsid w:val="00AC68EE"/>
    <w:rsid w:val="00AC6900"/>
    <w:rsid w:val="00AC693B"/>
    <w:rsid w:val="00AC710A"/>
    <w:rsid w:val="00AC7151"/>
    <w:rsid w:val="00AC7382"/>
    <w:rsid w:val="00AC76DB"/>
    <w:rsid w:val="00AC7720"/>
    <w:rsid w:val="00AC781C"/>
    <w:rsid w:val="00AC7A19"/>
    <w:rsid w:val="00AC7AA9"/>
    <w:rsid w:val="00AC7D45"/>
    <w:rsid w:val="00AC7EFC"/>
    <w:rsid w:val="00AD0085"/>
    <w:rsid w:val="00AD043D"/>
    <w:rsid w:val="00AD046E"/>
    <w:rsid w:val="00AD0B86"/>
    <w:rsid w:val="00AD0E43"/>
    <w:rsid w:val="00AD0F54"/>
    <w:rsid w:val="00AD11B4"/>
    <w:rsid w:val="00AD141C"/>
    <w:rsid w:val="00AD14CC"/>
    <w:rsid w:val="00AD17A2"/>
    <w:rsid w:val="00AD1858"/>
    <w:rsid w:val="00AD1A0A"/>
    <w:rsid w:val="00AD1A45"/>
    <w:rsid w:val="00AD1E8B"/>
    <w:rsid w:val="00AD21D6"/>
    <w:rsid w:val="00AD229F"/>
    <w:rsid w:val="00AD241C"/>
    <w:rsid w:val="00AD27A8"/>
    <w:rsid w:val="00AD2ADB"/>
    <w:rsid w:val="00AD2AF3"/>
    <w:rsid w:val="00AD3023"/>
    <w:rsid w:val="00AD30EE"/>
    <w:rsid w:val="00AD326A"/>
    <w:rsid w:val="00AD3563"/>
    <w:rsid w:val="00AD357E"/>
    <w:rsid w:val="00AD38CF"/>
    <w:rsid w:val="00AD39A6"/>
    <w:rsid w:val="00AD3A49"/>
    <w:rsid w:val="00AD3D92"/>
    <w:rsid w:val="00AD3E79"/>
    <w:rsid w:val="00AD4176"/>
    <w:rsid w:val="00AD4236"/>
    <w:rsid w:val="00AD48EE"/>
    <w:rsid w:val="00AD4B1B"/>
    <w:rsid w:val="00AD4B28"/>
    <w:rsid w:val="00AD4D55"/>
    <w:rsid w:val="00AD5498"/>
    <w:rsid w:val="00AD55A4"/>
    <w:rsid w:val="00AD56DA"/>
    <w:rsid w:val="00AD56F5"/>
    <w:rsid w:val="00AD5E48"/>
    <w:rsid w:val="00AD6056"/>
    <w:rsid w:val="00AD620E"/>
    <w:rsid w:val="00AD642B"/>
    <w:rsid w:val="00AD679B"/>
    <w:rsid w:val="00AD6843"/>
    <w:rsid w:val="00AD6D41"/>
    <w:rsid w:val="00AD7010"/>
    <w:rsid w:val="00AD7059"/>
    <w:rsid w:val="00AD70B5"/>
    <w:rsid w:val="00AD769E"/>
    <w:rsid w:val="00AD7A09"/>
    <w:rsid w:val="00AD7A5F"/>
    <w:rsid w:val="00AD7B1E"/>
    <w:rsid w:val="00AD7EF3"/>
    <w:rsid w:val="00ADF8B4"/>
    <w:rsid w:val="00AE01FE"/>
    <w:rsid w:val="00AE04DF"/>
    <w:rsid w:val="00AE06FC"/>
    <w:rsid w:val="00AE0B35"/>
    <w:rsid w:val="00AE0CC9"/>
    <w:rsid w:val="00AE0D72"/>
    <w:rsid w:val="00AE1078"/>
    <w:rsid w:val="00AE1C19"/>
    <w:rsid w:val="00AE1E1C"/>
    <w:rsid w:val="00AE1E1F"/>
    <w:rsid w:val="00AE1E58"/>
    <w:rsid w:val="00AE22DD"/>
    <w:rsid w:val="00AE22FA"/>
    <w:rsid w:val="00AE241A"/>
    <w:rsid w:val="00AE2828"/>
    <w:rsid w:val="00AE2AC3"/>
    <w:rsid w:val="00AE32EC"/>
    <w:rsid w:val="00AE33CF"/>
    <w:rsid w:val="00AE3BD7"/>
    <w:rsid w:val="00AE3BD8"/>
    <w:rsid w:val="00AE3E88"/>
    <w:rsid w:val="00AE3F26"/>
    <w:rsid w:val="00AE3F43"/>
    <w:rsid w:val="00AE41D8"/>
    <w:rsid w:val="00AE44B8"/>
    <w:rsid w:val="00AE4811"/>
    <w:rsid w:val="00AE4D77"/>
    <w:rsid w:val="00AE4E89"/>
    <w:rsid w:val="00AE4F61"/>
    <w:rsid w:val="00AE4F9B"/>
    <w:rsid w:val="00AE534C"/>
    <w:rsid w:val="00AE595A"/>
    <w:rsid w:val="00AE59B4"/>
    <w:rsid w:val="00AE5DD3"/>
    <w:rsid w:val="00AE6915"/>
    <w:rsid w:val="00AE69F9"/>
    <w:rsid w:val="00AE6AFD"/>
    <w:rsid w:val="00AE6CFB"/>
    <w:rsid w:val="00AE6F77"/>
    <w:rsid w:val="00AE7068"/>
    <w:rsid w:val="00AE75BE"/>
    <w:rsid w:val="00AE76FD"/>
    <w:rsid w:val="00AE789F"/>
    <w:rsid w:val="00AE7A50"/>
    <w:rsid w:val="00AE7B3B"/>
    <w:rsid w:val="00AE7F5A"/>
    <w:rsid w:val="00AF009C"/>
    <w:rsid w:val="00AF0119"/>
    <w:rsid w:val="00AF013C"/>
    <w:rsid w:val="00AF0191"/>
    <w:rsid w:val="00AF0280"/>
    <w:rsid w:val="00AF0979"/>
    <w:rsid w:val="00AF0A84"/>
    <w:rsid w:val="00AF0C94"/>
    <w:rsid w:val="00AF0D28"/>
    <w:rsid w:val="00AF0DE8"/>
    <w:rsid w:val="00AF0E47"/>
    <w:rsid w:val="00AF15FD"/>
    <w:rsid w:val="00AF1D31"/>
    <w:rsid w:val="00AF1FBE"/>
    <w:rsid w:val="00AF201B"/>
    <w:rsid w:val="00AF2267"/>
    <w:rsid w:val="00AF2467"/>
    <w:rsid w:val="00AF2767"/>
    <w:rsid w:val="00AF27C5"/>
    <w:rsid w:val="00AF27C9"/>
    <w:rsid w:val="00AF2A8F"/>
    <w:rsid w:val="00AF300F"/>
    <w:rsid w:val="00AF340D"/>
    <w:rsid w:val="00AF377E"/>
    <w:rsid w:val="00AF3ADD"/>
    <w:rsid w:val="00AF3B5D"/>
    <w:rsid w:val="00AF42F4"/>
    <w:rsid w:val="00AF4314"/>
    <w:rsid w:val="00AF44DA"/>
    <w:rsid w:val="00AF4539"/>
    <w:rsid w:val="00AF45A2"/>
    <w:rsid w:val="00AF5002"/>
    <w:rsid w:val="00AF50D5"/>
    <w:rsid w:val="00AF556A"/>
    <w:rsid w:val="00AF57E7"/>
    <w:rsid w:val="00AF58B8"/>
    <w:rsid w:val="00AF58F0"/>
    <w:rsid w:val="00AF5C32"/>
    <w:rsid w:val="00AF6734"/>
    <w:rsid w:val="00AF67E3"/>
    <w:rsid w:val="00AF68F5"/>
    <w:rsid w:val="00AF6B29"/>
    <w:rsid w:val="00AF6B8C"/>
    <w:rsid w:val="00AF6D2E"/>
    <w:rsid w:val="00AF700E"/>
    <w:rsid w:val="00AF726C"/>
    <w:rsid w:val="00AF7840"/>
    <w:rsid w:val="00AF7857"/>
    <w:rsid w:val="00AF7BA0"/>
    <w:rsid w:val="00AF87D2"/>
    <w:rsid w:val="00B000C4"/>
    <w:rsid w:val="00B00217"/>
    <w:rsid w:val="00B0034B"/>
    <w:rsid w:val="00B003C6"/>
    <w:rsid w:val="00B004E1"/>
    <w:rsid w:val="00B008A3"/>
    <w:rsid w:val="00B00AB5"/>
    <w:rsid w:val="00B00AE6"/>
    <w:rsid w:val="00B00C7C"/>
    <w:rsid w:val="00B00EEC"/>
    <w:rsid w:val="00B00FC4"/>
    <w:rsid w:val="00B01480"/>
    <w:rsid w:val="00B018D2"/>
    <w:rsid w:val="00B0262E"/>
    <w:rsid w:val="00B0280C"/>
    <w:rsid w:val="00B02BDA"/>
    <w:rsid w:val="00B02D73"/>
    <w:rsid w:val="00B02F40"/>
    <w:rsid w:val="00B02FA7"/>
    <w:rsid w:val="00B0328B"/>
    <w:rsid w:val="00B035CD"/>
    <w:rsid w:val="00B036BC"/>
    <w:rsid w:val="00B0378C"/>
    <w:rsid w:val="00B03D68"/>
    <w:rsid w:val="00B03F39"/>
    <w:rsid w:val="00B04388"/>
    <w:rsid w:val="00B045C8"/>
    <w:rsid w:val="00B0469A"/>
    <w:rsid w:val="00B04A9D"/>
    <w:rsid w:val="00B04F86"/>
    <w:rsid w:val="00B05404"/>
    <w:rsid w:val="00B05790"/>
    <w:rsid w:val="00B05AEE"/>
    <w:rsid w:val="00B05AF7"/>
    <w:rsid w:val="00B05C02"/>
    <w:rsid w:val="00B0657F"/>
    <w:rsid w:val="00B065A9"/>
    <w:rsid w:val="00B06827"/>
    <w:rsid w:val="00B069C0"/>
    <w:rsid w:val="00B06B67"/>
    <w:rsid w:val="00B06C43"/>
    <w:rsid w:val="00B06C67"/>
    <w:rsid w:val="00B06ED3"/>
    <w:rsid w:val="00B06ED9"/>
    <w:rsid w:val="00B07505"/>
    <w:rsid w:val="00B07735"/>
    <w:rsid w:val="00B07788"/>
    <w:rsid w:val="00B077F2"/>
    <w:rsid w:val="00B07A98"/>
    <w:rsid w:val="00B07E0B"/>
    <w:rsid w:val="00B07E50"/>
    <w:rsid w:val="00B07F51"/>
    <w:rsid w:val="00B100C5"/>
    <w:rsid w:val="00B10A29"/>
    <w:rsid w:val="00B10BFF"/>
    <w:rsid w:val="00B10F3C"/>
    <w:rsid w:val="00B116E7"/>
    <w:rsid w:val="00B11750"/>
    <w:rsid w:val="00B117ED"/>
    <w:rsid w:val="00B11827"/>
    <w:rsid w:val="00B11C2E"/>
    <w:rsid w:val="00B11F37"/>
    <w:rsid w:val="00B121DE"/>
    <w:rsid w:val="00B123BB"/>
    <w:rsid w:val="00B12557"/>
    <w:rsid w:val="00B12738"/>
    <w:rsid w:val="00B127F5"/>
    <w:rsid w:val="00B12958"/>
    <w:rsid w:val="00B12A0D"/>
    <w:rsid w:val="00B12A91"/>
    <w:rsid w:val="00B12B98"/>
    <w:rsid w:val="00B13451"/>
    <w:rsid w:val="00B1365B"/>
    <w:rsid w:val="00B136EA"/>
    <w:rsid w:val="00B13CC9"/>
    <w:rsid w:val="00B13EFD"/>
    <w:rsid w:val="00B14054"/>
    <w:rsid w:val="00B143E4"/>
    <w:rsid w:val="00B1465E"/>
    <w:rsid w:val="00B14ABE"/>
    <w:rsid w:val="00B14DEE"/>
    <w:rsid w:val="00B14E33"/>
    <w:rsid w:val="00B152E8"/>
    <w:rsid w:val="00B154EE"/>
    <w:rsid w:val="00B157BA"/>
    <w:rsid w:val="00B15D9C"/>
    <w:rsid w:val="00B15E5E"/>
    <w:rsid w:val="00B1605B"/>
    <w:rsid w:val="00B16078"/>
    <w:rsid w:val="00B160CE"/>
    <w:rsid w:val="00B16626"/>
    <w:rsid w:val="00B16DEF"/>
    <w:rsid w:val="00B173AE"/>
    <w:rsid w:val="00B1777A"/>
    <w:rsid w:val="00B1796F"/>
    <w:rsid w:val="00B17AB4"/>
    <w:rsid w:val="00B20178"/>
    <w:rsid w:val="00B201FA"/>
    <w:rsid w:val="00B20404"/>
    <w:rsid w:val="00B2072C"/>
    <w:rsid w:val="00B20851"/>
    <w:rsid w:val="00B20B05"/>
    <w:rsid w:val="00B20E12"/>
    <w:rsid w:val="00B21016"/>
    <w:rsid w:val="00B21177"/>
    <w:rsid w:val="00B21290"/>
    <w:rsid w:val="00B21AA7"/>
    <w:rsid w:val="00B21BF2"/>
    <w:rsid w:val="00B21D78"/>
    <w:rsid w:val="00B21ED2"/>
    <w:rsid w:val="00B21F18"/>
    <w:rsid w:val="00B22168"/>
    <w:rsid w:val="00B221D1"/>
    <w:rsid w:val="00B223EE"/>
    <w:rsid w:val="00B22420"/>
    <w:rsid w:val="00B22481"/>
    <w:rsid w:val="00B22B55"/>
    <w:rsid w:val="00B22BF2"/>
    <w:rsid w:val="00B22C3B"/>
    <w:rsid w:val="00B22DAA"/>
    <w:rsid w:val="00B22DB9"/>
    <w:rsid w:val="00B22FC6"/>
    <w:rsid w:val="00B23018"/>
    <w:rsid w:val="00B2322F"/>
    <w:rsid w:val="00B23289"/>
    <w:rsid w:val="00B2337D"/>
    <w:rsid w:val="00B2342A"/>
    <w:rsid w:val="00B23454"/>
    <w:rsid w:val="00B23643"/>
    <w:rsid w:val="00B23645"/>
    <w:rsid w:val="00B23767"/>
    <w:rsid w:val="00B23A68"/>
    <w:rsid w:val="00B23C6B"/>
    <w:rsid w:val="00B23E12"/>
    <w:rsid w:val="00B23E69"/>
    <w:rsid w:val="00B23E93"/>
    <w:rsid w:val="00B24387"/>
    <w:rsid w:val="00B2457C"/>
    <w:rsid w:val="00B24811"/>
    <w:rsid w:val="00B24A57"/>
    <w:rsid w:val="00B250FF"/>
    <w:rsid w:val="00B25372"/>
    <w:rsid w:val="00B25493"/>
    <w:rsid w:val="00B25844"/>
    <w:rsid w:val="00B25A44"/>
    <w:rsid w:val="00B25A45"/>
    <w:rsid w:val="00B25E30"/>
    <w:rsid w:val="00B25FD3"/>
    <w:rsid w:val="00B25FFD"/>
    <w:rsid w:val="00B26283"/>
    <w:rsid w:val="00B266C9"/>
    <w:rsid w:val="00B26BCB"/>
    <w:rsid w:val="00B27191"/>
    <w:rsid w:val="00B2720F"/>
    <w:rsid w:val="00B27662"/>
    <w:rsid w:val="00B277E8"/>
    <w:rsid w:val="00B27B5D"/>
    <w:rsid w:val="00B27D27"/>
    <w:rsid w:val="00B27DFA"/>
    <w:rsid w:val="00B30262"/>
    <w:rsid w:val="00B302AD"/>
    <w:rsid w:val="00B30330"/>
    <w:rsid w:val="00B3036F"/>
    <w:rsid w:val="00B305B8"/>
    <w:rsid w:val="00B308BE"/>
    <w:rsid w:val="00B30BEF"/>
    <w:rsid w:val="00B31134"/>
    <w:rsid w:val="00B312BB"/>
    <w:rsid w:val="00B31487"/>
    <w:rsid w:val="00B314DB"/>
    <w:rsid w:val="00B31673"/>
    <w:rsid w:val="00B316FA"/>
    <w:rsid w:val="00B3185D"/>
    <w:rsid w:val="00B319A9"/>
    <w:rsid w:val="00B31DEF"/>
    <w:rsid w:val="00B31F4C"/>
    <w:rsid w:val="00B32060"/>
    <w:rsid w:val="00B32198"/>
    <w:rsid w:val="00B32EF4"/>
    <w:rsid w:val="00B32FD0"/>
    <w:rsid w:val="00B33056"/>
    <w:rsid w:val="00B33072"/>
    <w:rsid w:val="00B3327E"/>
    <w:rsid w:val="00B33387"/>
    <w:rsid w:val="00B336A7"/>
    <w:rsid w:val="00B337D3"/>
    <w:rsid w:val="00B33899"/>
    <w:rsid w:val="00B33C83"/>
    <w:rsid w:val="00B33D17"/>
    <w:rsid w:val="00B33EB7"/>
    <w:rsid w:val="00B3448C"/>
    <w:rsid w:val="00B34595"/>
    <w:rsid w:val="00B34B8C"/>
    <w:rsid w:val="00B34F7F"/>
    <w:rsid w:val="00B3555C"/>
    <w:rsid w:val="00B357A6"/>
    <w:rsid w:val="00B35824"/>
    <w:rsid w:val="00B3595E"/>
    <w:rsid w:val="00B35A53"/>
    <w:rsid w:val="00B35AD5"/>
    <w:rsid w:val="00B35D08"/>
    <w:rsid w:val="00B35D9B"/>
    <w:rsid w:val="00B35EC6"/>
    <w:rsid w:val="00B35F9D"/>
    <w:rsid w:val="00B35FE4"/>
    <w:rsid w:val="00B3607E"/>
    <w:rsid w:val="00B366E3"/>
    <w:rsid w:val="00B36702"/>
    <w:rsid w:val="00B367C8"/>
    <w:rsid w:val="00B36A80"/>
    <w:rsid w:val="00B37085"/>
    <w:rsid w:val="00B371A8"/>
    <w:rsid w:val="00B371AF"/>
    <w:rsid w:val="00B374AA"/>
    <w:rsid w:val="00B37726"/>
    <w:rsid w:val="00B37AC4"/>
    <w:rsid w:val="00B37B62"/>
    <w:rsid w:val="00B37D3F"/>
    <w:rsid w:val="00B37E79"/>
    <w:rsid w:val="00B37F4D"/>
    <w:rsid w:val="00B37FBC"/>
    <w:rsid w:val="00B40133"/>
    <w:rsid w:val="00B401C0"/>
    <w:rsid w:val="00B402C2"/>
    <w:rsid w:val="00B405AE"/>
    <w:rsid w:val="00B4069D"/>
    <w:rsid w:val="00B407E8"/>
    <w:rsid w:val="00B40B1E"/>
    <w:rsid w:val="00B40B54"/>
    <w:rsid w:val="00B411EB"/>
    <w:rsid w:val="00B417E0"/>
    <w:rsid w:val="00B418E0"/>
    <w:rsid w:val="00B41C28"/>
    <w:rsid w:val="00B422A1"/>
    <w:rsid w:val="00B422AC"/>
    <w:rsid w:val="00B42854"/>
    <w:rsid w:val="00B42AE1"/>
    <w:rsid w:val="00B42D5B"/>
    <w:rsid w:val="00B432FA"/>
    <w:rsid w:val="00B43397"/>
    <w:rsid w:val="00B43908"/>
    <w:rsid w:val="00B43A91"/>
    <w:rsid w:val="00B43B2A"/>
    <w:rsid w:val="00B43BA5"/>
    <w:rsid w:val="00B43C65"/>
    <w:rsid w:val="00B43EAE"/>
    <w:rsid w:val="00B44669"/>
    <w:rsid w:val="00B446A2"/>
    <w:rsid w:val="00B44B8F"/>
    <w:rsid w:val="00B44E8F"/>
    <w:rsid w:val="00B4547B"/>
    <w:rsid w:val="00B45510"/>
    <w:rsid w:val="00B45AAA"/>
    <w:rsid w:val="00B45B9D"/>
    <w:rsid w:val="00B45F11"/>
    <w:rsid w:val="00B46196"/>
    <w:rsid w:val="00B463A2"/>
    <w:rsid w:val="00B467AE"/>
    <w:rsid w:val="00B46B97"/>
    <w:rsid w:val="00B46EE1"/>
    <w:rsid w:val="00B46F4D"/>
    <w:rsid w:val="00B46FD1"/>
    <w:rsid w:val="00B471DA"/>
    <w:rsid w:val="00B47756"/>
    <w:rsid w:val="00B47835"/>
    <w:rsid w:val="00B47AC8"/>
    <w:rsid w:val="00B47C4E"/>
    <w:rsid w:val="00B47CA9"/>
    <w:rsid w:val="00B47FAC"/>
    <w:rsid w:val="00B500BE"/>
    <w:rsid w:val="00B50624"/>
    <w:rsid w:val="00B50959"/>
    <w:rsid w:val="00B50AEA"/>
    <w:rsid w:val="00B50E0E"/>
    <w:rsid w:val="00B50E92"/>
    <w:rsid w:val="00B50EEF"/>
    <w:rsid w:val="00B50FC4"/>
    <w:rsid w:val="00B513DC"/>
    <w:rsid w:val="00B51BAC"/>
    <w:rsid w:val="00B51FAC"/>
    <w:rsid w:val="00B5201B"/>
    <w:rsid w:val="00B522E0"/>
    <w:rsid w:val="00B52608"/>
    <w:rsid w:val="00B5275A"/>
    <w:rsid w:val="00B52943"/>
    <w:rsid w:val="00B529F8"/>
    <w:rsid w:val="00B52C71"/>
    <w:rsid w:val="00B53021"/>
    <w:rsid w:val="00B5302B"/>
    <w:rsid w:val="00B53351"/>
    <w:rsid w:val="00B5357F"/>
    <w:rsid w:val="00B5361E"/>
    <w:rsid w:val="00B53650"/>
    <w:rsid w:val="00B53845"/>
    <w:rsid w:val="00B53A14"/>
    <w:rsid w:val="00B53B1B"/>
    <w:rsid w:val="00B53D70"/>
    <w:rsid w:val="00B540BC"/>
    <w:rsid w:val="00B540D8"/>
    <w:rsid w:val="00B541AB"/>
    <w:rsid w:val="00B54445"/>
    <w:rsid w:val="00B548D3"/>
    <w:rsid w:val="00B54AD5"/>
    <w:rsid w:val="00B54B2E"/>
    <w:rsid w:val="00B54B56"/>
    <w:rsid w:val="00B550E9"/>
    <w:rsid w:val="00B5547F"/>
    <w:rsid w:val="00B558B7"/>
    <w:rsid w:val="00B559AD"/>
    <w:rsid w:val="00B55B62"/>
    <w:rsid w:val="00B55C48"/>
    <w:rsid w:val="00B55F59"/>
    <w:rsid w:val="00B55FE0"/>
    <w:rsid w:val="00B5695F"/>
    <w:rsid w:val="00B56A11"/>
    <w:rsid w:val="00B56CCB"/>
    <w:rsid w:val="00B56CF3"/>
    <w:rsid w:val="00B576CB"/>
    <w:rsid w:val="00B5794F"/>
    <w:rsid w:val="00B57D8F"/>
    <w:rsid w:val="00B57E6D"/>
    <w:rsid w:val="00B60B6A"/>
    <w:rsid w:val="00B610A3"/>
    <w:rsid w:val="00B614AE"/>
    <w:rsid w:val="00B614D5"/>
    <w:rsid w:val="00B61572"/>
    <w:rsid w:val="00B618BB"/>
    <w:rsid w:val="00B61D32"/>
    <w:rsid w:val="00B61D44"/>
    <w:rsid w:val="00B61F33"/>
    <w:rsid w:val="00B61F9B"/>
    <w:rsid w:val="00B61FBB"/>
    <w:rsid w:val="00B61FFA"/>
    <w:rsid w:val="00B62478"/>
    <w:rsid w:val="00B627E4"/>
    <w:rsid w:val="00B62875"/>
    <w:rsid w:val="00B62877"/>
    <w:rsid w:val="00B62A05"/>
    <w:rsid w:val="00B631C1"/>
    <w:rsid w:val="00B6364A"/>
    <w:rsid w:val="00B636A5"/>
    <w:rsid w:val="00B63D7B"/>
    <w:rsid w:val="00B63DDB"/>
    <w:rsid w:val="00B64151"/>
    <w:rsid w:val="00B64193"/>
    <w:rsid w:val="00B64230"/>
    <w:rsid w:val="00B642B6"/>
    <w:rsid w:val="00B643BA"/>
    <w:rsid w:val="00B6457C"/>
    <w:rsid w:val="00B647A1"/>
    <w:rsid w:val="00B64812"/>
    <w:rsid w:val="00B64905"/>
    <w:rsid w:val="00B64933"/>
    <w:rsid w:val="00B64A1D"/>
    <w:rsid w:val="00B64F85"/>
    <w:rsid w:val="00B6519D"/>
    <w:rsid w:val="00B655B1"/>
    <w:rsid w:val="00B656BB"/>
    <w:rsid w:val="00B65E3B"/>
    <w:rsid w:val="00B663BC"/>
    <w:rsid w:val="00B66808"/>
    <w:rsid w:val="00B6688D"/>
    <w:rsid w:val="00B6692C"/>
    <w:rsid w:val="00B66989"/>
    <w:rsid w:val="00B66BEB"/>
    <w:rsid w:val="00B66E01"/>
    <w:rsid w:val="00B66F10"/>
    <w:rsid w:val="00B67217"/>
    <w:rsid w:val="00B6759A"/>
    <w:rsid w:val="00B6766F"/>
    <w:rsid w:val="00B67A60"/>
    <w:rsid w:val="00B67D65"/>
    <w:rsid w:val="00B67E18"/>
    <w:rsid w:val="00B700BA"/>
    <w:rsid w:val="00B70239"/>
    <w:rsid w:val="00B7025C"/>
    <w:rsid w:val="00B7035A"/>
    <w:rsid w:val="00B703C1"/>
    <w:rsid w:val="00B70514"/>
    <w:rsid w:val="00B70BB4"/>
    <w:rsid w:val="00B70C61"/>
    <w:rsid w:val="00B71228"/>
    <w:rsid w:val="00B7147B"/>
    <w:rsid w:val="00B71677"/>
    <w:rsid w:val="00B717EB"/>
    <w:rsid w:val="00B71860"/>
    <w:rsid w:val="00B71A97"/>
    <w:rsid w:val="00B71B2C"/>
    <w:rsid w:val="00B71BD8"/>
    <w:rsid w:val="00B71C03"/>
    <w:rsid w:val="00B72160"/>
    <w:rsid w:val="00B722D2"/>
    <w:rsid w:val="00B7241C"/>
    <w:rsid w:val="00B7262F"/>
    <w:rsid w:val="00B727B5"/>
    <w:rsid w:val="00B728C3"/>
    <w:rsid w:val="00B72D49"/>
    <w:rsid w:val="00B72E22"/>
    <w:rsid w:val="00B73091"/>
    <w:rsid w:val="00B7318E"/>
    <w:rsid w:val="00B7329F"/>
    <w:rsid w:val="00B734A3"/>
    <w:rsid w:val="00B73A97"/>
    <w:rsid w:val="00B73CE2"/>
    <w:rsid w:val="00B73DF6"/>
    <w:rsid w:val="00B74208"/>
    <w:rsid w:val="00B7477C"/>
    <w:rsid w:val="00B74C75"/>
    <w:rsid w:val="00B750B9"/>
    <w:rsid w:val="00B750DE"/>
    <w:rsid w:val="00B75239"/>
    <w:rsid w:val="00B75397"/>
    <w:rsid w:val="00B755EC"/>
    <w:rsid w:val="00B767E7"/>
    <w:rsid w:val="00B769DC"/>
    <w:rsid w:val="00B76A62"/>
    <w:rsid w:val="00B76C02"/>
    <w:rsid w:val="00B76C20"/>
    <w:rsid w:val="00B76CEA"/>
    <w:rsid w:val="00B76D1B"/>
    <w:rsid w:val="00B76F7D"/>
    <w:rsid w:val="00B772F1"/>
    <w:rsid w:val="00B77779"/>
    <w:rsid w:val="00B779A9"/>
    <w:rsid w:val="00B77C8D"/>
    <w:rsid w:val="00B77D8A"/>
    <w:rsid w:val="00B77FA2"/>
    <w:rsid w:val="00B808B2"/>
    <w:rsid w:val="00B80AEE"/>
    <w:rsid w:val="00B80BED"/>
    <w:rsid w:val="00B80CE9"/>
    <w:rsid w:val="00B80E87"/>
    <w:rsid w:val="00B8125A"/>
    <w:rsid w:val="00B8137C"/>
    <w:rsid w:val="00B81756"/>
    <w:rsid w:val="00B81C7A"/>
    <w:rsid w:val="00B82214"/>
    <w:rsid w:val="00B8237E"/>
    <w:rsid w:val="00B82625"/>
    <w:rsid w:val="00B82784"/>
    <w:rsid w:val="00B82B1D"/>
    <w:rsid w:val="00B82C01"/>
    <w:rsid w:val="00B82FAF"/>
    <w:rsid w:val="00B833E0"/>
    <w:rsid w:val="00B8346E"/>
    <w:rsid w:val="00B83751"/>
    <w:rsid w:val="00B83BE7"/>
    <w:rsid w:val="00B84193"/>
    <w:rsid w:val="00B84929"/>
    <w:rsid w:val="00B84CDD"/>
    <w:rsid w:val="00B84D8A"/>
    <w:rsid w:val="00B85120"/>
    <w:rsid w:val="00B858AD"/>
    <w:rsid w:val="00B85E11"/>
    <w:rsid w:val="00B860CD"/>
    <w:rsid w:val="00B86180"/>
    <w:rsid w:val="00B86687"/>
    <w:rsid w:val="00B8683F"/>
    <w:rsid w:val="00B86931"/>
    <w:rsid w:val="00B86AEA"/>
    <w:rsid w:val="00B86F15"/>
    <w:rsid w:val="00B86F20"/>
    <w:rsid w:val="00B87ADB"/>
    <w:rsid w:val="00B87ADD"/>
    <w:rsid w:val="00B90379"/>
    <w:rsid w:val="00B903DA"/>
    <w:rsid w:val="00B90604"/>
    <w:rsid w:val="00B906B9"/>
    <w:rsid w:val="00B907FC"/>
    <w:rsid w:val="00B90ACD"/>
    <w:rsid w:val="00B90E67"/>
    <w:rsid w:val="00B90FE2"/>
    <w:rsid w:val="00B910C4"/>
    <w:rsid w:val="00B910DC"/>
    <w:rsid w:val="00B9131E"/>
    <w:rsid w:val="00B91368"/>
    <w:rsid w:val="00B913BA"/>
    <w:rsid w:val="00B91800"/>
    <w:rsid w:val="00B91D0D"/>
    <w:rsid w:val="00B91D6C"/>
    <w:rsid w:val="00B91E70"/>
    <w:rsid w:val="00B91FD1"/>
    <w:rsid w:val="00B920E6"/>
    <w:rsid w:val="00B9215E"/>
    <w:rsid w:val="00B92200"/>
    <w:rsid w:val="00B92241"/>
    <w:rsid w:val="00B92478"/>
    <w:rsid w:val="00B92535"/>
    <w:rsid w:val="00B92676"/>
    <w:rsid w:val="00B92D8A"/>
    <w:rsid w:val="00B92D9D"/>
    <w:rsid w:val="00B92F99"/>
    <w:rsid w:val="00B93416"/>
    <w:rsid w:val="00B938D5"/>
    <w:rsid w:val="00B93F24"/>
    <w:rsid w:val="00B93FDD"/>
    <w:rsid w:val="00B94080"/>
    <w:rsid w:val="00B94448"/>
    <w:rsid w:val="00B948EB"/>
    <w:rsid w:val="00B94B78"/>
    <w:rsid w:val="00B94D0D"/>
    <w:rsid w:val="00B94E33"/>
    <w:rsid w:val="00B94F27"/>
    <w:rsid w:val="00B9510C"/>
    <w:rsid w:val="00B9528F"/>
    <w:rsid w:val="00B954E0"/>
    <w:rsid w:val="00B958DA"/>
    <w:rsid w:val="00B9592E"/>
    <w:rsid w:val="00B95D2D"/>
    <w:rsid w:val="00B95E6D"/>
    <w:rsid w:val="00B9616A"/>
    <w:rsid w:val="00B96530"/>
    <w:rsid w:val="00B965AB"/>
    <w:rsid w:val="00B9665E"/>
    <w:rsid w:val="00B96DEE"/>
    <w:rsid w:val="00B973B6"/>
    <w:rsid w:val="00B974CE"/>
    <w:rsid w:val="00B97577"/>
    <w:rsid w:val="00B9766F"/>
    <w:rsid w:val="00B9767A"/>
    <w:rsid w:val="00B97EAC"/>
    <w:rsid w:val="00B97F64"/>
    <w:rsid w:val="00BA00A7"/>
    <w:rsid w:val="00BA0197"/>
    <w:rsid w:val="00BA0766"/>
    <w:rsid w:val="00BA0A63"/>
    <w:rsid w:val="00BA105B"/>
    <w:rsid w:val="00BA14B0"/>
    <w:rsid w:val="00BA1B2F"/>
    <w:rsid w:val="00BA257F"/>
    <w:rsid w:val="00BA2AEF"/>
    <w:rsid w:val="00BA2B8F"/>
    <w:rsid w:val="00BA3E3D"/>
    <w:rsid w:val="00BA41FF"/>
    <w:rsid w:val="00BA43A5"/>
    <w:rsid w:val="00BA473F"/>
    <w:rsid w:val="00BA4916"/>
    <w:rsid w:val="00BA49DC"/>
    <w:rsid w:val="00BA4A4D"/>
    <w:rsid w:val="00BA4B3C"/>
    <w:rsid w:val="00BA4BFA"/>
    <w:rsid w:val="00BA4C6A"/>
    <w:rsid w:val="00BA4C82"/>
    <w:rsid w:val="00BA51A5"/>
    <w:rsid w:val="00BA52A3"/>
    <w:rsid w:val="00BA53CC"/>
    <w:rsid w:val="00BA53E6"/>
    <w:rsid w:val="00BA5611"/>
    <w:rsid w:val="00BA5667"/>
    <w:rsid w:val="00BA5719"/>
    <w:rsid w:val="00BA591E"/>
    <w:rsid w:val="00BA5B85"/>
    <w:rsid w:val="00BA5F92"/>
    <w:rsid w:val="00BA6610"/>
    <w:rsid w:val="00BA661A"/>
    <w:rsid w:val="00BA6800"/>
    <w:rsid w:val="00BA6E56"/>
    <w:rsid w:val="00BA6F7A"/>
    <w:rsid w:val="00BA725E"/>
    <w:rsid w:val="00BA730A"/>
    <w:rsid w:val="00BA7D43"/>
    <w:rsid w:val="00BA7EAB"/>
    <w:rsid w:val="00BB05C0"/>
    <w:rsid w:val="00BB08C0"/>
    <w:rsid w:val="00BB0AE7"/>
    <w:rsid w:val="00BB0B81"/>
    <w:rsid w:val="00BB0BFF"/>
    <w:rsid w:val="00BB0E9A"/>
    <w:rsid w:val="00BB0EAE"/>
    <w:rsid w:val="00BB0FF9"/>
    <w:rsid w:val="00BB1220"/>
    <w:rsid w:val="00BB136B"/>
    <w:rsid w:val="00BB16D4"/>
    <w:rsid w:val="00BB17E3"/>
    <w:rsid w:val="00BB17EB"/>
    <w:rsid w:val="00BB18FA"/>
    <w:rsid w:val="00BB1A5B"/>
    <w:rsid w:val="00BB1B53"/>
    <w:rsid w:val="00BB1CDB"/>
    <w:rsid w:val="00BB1F99"/>
    <w:rsid w:val="00BB273C"/>
    <w:rsid w:val="00BB3439"/>
    <w:rsid w:val="00BB3442"/>
    <w:rsid w:val="00BB3597"/>
    <w:rsid w:val="00BB39CB"/>
    <w:rsid w:val="00BB3B83"/>
    <w:rsid w:val="00BB3BB3"/>
    <w:rsid w:val="00BB3C79"/>
    <w:rsid w:val="00BB3CBE"/>
    <w:rsid w:val="00BB41AC"/>
    <w:rsid w:val="00BB442E"/>
    <w:rsid w:val="00BB4440"/>
    <w:rsid w:val="00BB45B1"/>
    <w:rsid w:val="00BB46DA"/>
    <w:rsid w:val="00BB4705"/>
    <w:rsid w:val="00BB48EB"/>
    <w:rsid w:val="00BB4A67"/>
    <w:rsid w:val="00BB4BC9"/>
    <w:rsid w:val="00BB4C91"/>
    <w:rsid w:val="00BB4FFC"/>
    <w:rsid w:val="00BB52B3"/>
    <w:rsid w:val="00BB53DB"/>
    <w:rsid w:val="00BB5646"/>
    <w:rsid w:val="00BB5A58"/>
    <w:rsid w:val="00BB5C64"/>
    <w:rsid w:val="00BB5C7C"/>
    <w:rsid w:val="00BB622D"/>
    <w:rsid w:val="00BB64EE"/>
    <w:rsid w:val="00BB66A7"/>
    <w:rsid w:val="00BB66EE"/>
    <w:rsid w:val="00BB684F"/>
    <w:rsid w:val="00BB6ABA"/>
    <w:rsid w:val="00BB6C1D"/>
    <w:rsid w:val="00BB6CF4"/>
    <w:rsid w:val="00BB6FAD"/>
    <w:rsid w:val="00BB702F"/>
    <w:rsid w:val="00BB70C3"/>
    <w:rsid w:val="00BB74CC"/>
    <w:rsid w:val="00BB785C"/>
    <w:rsid w:val="00BB7BA5"/>
    <w:rsid w:val="00BB7BD9"/>
    <w:rsid w:val="00BB7FF8"/>
    <w:rsid w:val="00BC04A5"/>
    <w:rsid w:val="00BC0735"/>
    <w:rsid w:val="00BC074B"/>
    <w:rsid w:val="00BC0F9D"/>
    <w:rsid w:val="00BC120A"/>
    <w:rsid w:val="00BC1249"/>
    <w:rsid w:val="00BC131E"/>
    <w:rsid w:val="00BC133E"/>
    <w:rsid w:val="00BC144A"/>
    <w:rsid w:val="00BC1819"/>
    <w:rsid w:val="00BC194B"/>
    <w:rsid w:val="00BC1E47"/>
    <w:rsid w:val="00BC2052"/>
    <w:rsid w:val="00BC2151"/>
    <w:rsid w:val="00BC222A"/>
    <w:rsid w:val="00BC29C8"/>
    <w:rsid w:val="00BC29E4"/>
    <w:rsid w:val="00BC2A51"/>
    <w:rsid w:val="00BC2C1F"/>
    <w:rsid w:val="00BC3060"/>
    <w:rsid w:val="00BC37FC"/>
    <w:rsid w:val="00BC4305"/>
    <w:rsid w:val="00BC46C2"/>
    <w:rsid w:val="00BC4912"/>
    <w:rsid w:val="00BC4B44"/>
    <w:rsid w:val="00BC5047"/>
    <w:rsid w:val="00BC5390"/>
    <w:rsid w:val="00BC5518"/>
    <w:rsid w:val="00BC56D8"/>
    <w:rsid w:val="00BC5B89"/>
    <w:rsid w:val="00BC6631"/>
    <w:rsid w:val="00BC6AE9"/>
    <w:rsid w:val="00BC717D"/>
    <w:rsid w:val="00BC743C"/>
    <w:rsid w:val="00BC7747"/>
    <w:rsid w:val="00BC7BCA"/>
    <w:rsid w:val="00BC7E6E"/>
    <w:rsid w:val="00BC7F0B"/>
    <w:rsid w:val="00BC7F60"/>
    <w:rsid w:val="00BC7F7C"/>
    <w:rsid w:val="00BD0064"/>
    <w:rsid w:val="00BD0141"/>
    <w:rsid w:val="00BD105F"/>
    <w:rsid w:val="00BD11ED"/>
    <w:rsid w:val="00BD11F1"/>
    <w:rsid w:val="00BD197C"/>
    <w:rsid w:val="00BD1A52"/>
    <w:rsid w:val="00BD208B"/>
    <w:rsid w:val="00BD20DC"/>
    <w:rsid w:val="00BD2198"/>
    <w:rsid w:val="00BD258A"/>
    <w:rsid w:val="00BD2594"/>
    <w:rsid w:val="00BD266F"/>
    <w:rsid w:val="00BD270C"/>
    <w:rsid w:val="00BD2796"/>
    <w:rsid w:val="00BD28D3"/>
    <w:rsid w:val="00BD3354"/>
    <w:rsid w:val="00BD3BF1"/>
    <w:rsid w:val="00BD3D8B"/>
    <w:rsid w:val="00BD489C"/>
    <w:rsid w:val="00BD4B29"/>
    <w:rsid w:val="00BD5039"/>
    <w:rsid w:val="00BD512F"/>
    <w:rsid w:val="00BD5AB7"/>
    <w:rsid w:val="00BD5CF4"/>
    <w:rsid w:val="00BD621F"/>
    <w:rsid w:val="00BD6465"/>
    <w:rsid w:val="00BD674A"/>
    <w:rsid w:val="00BD68DA"/>
    <w:rsid w:val="00BD690D"/>
    <w:rsid w:val="00BD6DA9"/>
    <w:rsid w:val="00BD6E22"/>
    <w:rsid w:val="00BD6F05"/>
    <w:rsid w:val="00BD6F7C"/>
    <w:rsid w:val="00BD7067"/>
    <w:rsid w:val="00BD71EE"/>
    <w:rsid w:val="00BD720A"/>
    <w:rsid w:val="00BD7572"/>
    <w:rsid w:val="00BD7D52"/>
    <w:rsid w:val="00BE00C9"/>
    <w:rsid w:val="00BE0346"/>
    <w:rsid w:val="00BE05F9"/>
    <w:rsid w:val="00BE0624"/>
    <w:rsid w:val="00BE06D4"/>
    <w:rsid w:val="00BE0759"/>
    <w:rsid w:val="00BE0859"/>
    <w:rsid w:val="00BE09E2"/>
    <w:rsid w:val="00BE0A48"/>
    <w:rsid w:val="00BE0D57"/>
    <w:rsid w:val="00BE0F1A"/>
    <w:rsid w:val="00BE0FD1"/>
    <w:rsid w:val="00BE12D4"/>
    <w:rsid w:val="00BE1626"/>
    <w:rsid w:val="00BE1871"/>
    <w:rsid w:val="00BE18D7"/>
    <w:rsid w:val="00BE1C50"/>
    <w:rsid w:val="00BE1D41"/>
    <w:rsid w:val="00BE1DD1"/>
    <w:rsid w:val="00BE23B5"/>
    <w:rsid w:val="00BE24BB"/>
    <w:rsid w:val="00BE27B1"/>
    <w:rsid w:val="00BE2884"/>
    <w:rsid w:val="00BE28E4"/>
    <w:rsid w:val="00BE28E8"/>
    <w:rsid w:val="00BE29D9"/>
    <w:rsid w:val="00BE2A43"/>
    <w:rsid w:val="00BE2D41"/>
    <w:rsid w:val="00BE314E"/>
    <w:rsid w:val="00BE330D"/>
    <w:rsid w:val="00BE33FD"/>
    <w:rsid w:val="00BE383F"/>
    <w:rsid w:val="00BE3B4C"/>
    <w:rsid w:val="00BE3E57"/>
    <w:rsid w:val="00BE4097"/>
    <w:rsid w:val="00BE4258"/>
    <w:rsid w:val="00BE42C6"/>
    <w:rsid w:val="00BE43E3"/>
    <w:rsid w:val="00BE449F"/>
    <w:rsid w:val="00BE45EE"/>
    <w:rsid w:val="00BE4649"/>
    <w:rsid w:val="00BE4C70"/>
    <w:rsid w:val="00BE4F21"/>
    <w:rsid w:val="00BE5099"/>
    <w:rsid w:val="00BE50EE"/>
    <w:rsid w:val="00BE5441"/>
    <w:rsid w:val="00BE5460"/>
    <w:rsid w:val="00BE54FA"/>
    <w:rsid w:val="00BE56DB"/>
    <w:rsid w:val="00BE56E9"/>
    <w:rsid w:val="00BE57C9"/>
    <w:rsid w:val="00BE59F0"/>
    <w:rsid w:val="00BE5CC0"/>
    <w:rsid w:val="00BE5EFE"/>
    <w:rsid w:val="00BE620E"/>
    <w:rsid w:val="00BE64CA"/>
    <w:rsid w:val="00BE6B17"/>
    <w:rsid w:val="00BE6B2D"/>
    <w:rsid w:val="00BE6B8A"/>
    <w:rsid w:val="00BE6CDB"/>
    <w:rsid w:val="00BE713F"/>
    <w:rsid w:val="00BE7462"/>
    <w:rsid w:val="00BE751C"/>
    <w:rsid w:val="00BE76DF"/>
    <w:rsid w:val="00BE76E5"/>
    <w:rsid w:val="00BE7CF7"/>
    <w:rsid w:val="00BF023B"/>
    <w:rsid w:val="00BF029F"/>
    <w:rsid w:val="00BF0306"/>
    <w:rsid w:val="00BF048D"/>
    <w:rsid w:val="00BF09B8"/>
    <w:rsid w:val="00BF0B23"/>
    <w:rsid w:val="00BF0EB9"/>
    <w:rsid w:val="00BF0F1A"/>
    <w:rsid w:val="00BF0FA0"/>
    <w:rsid w:val="00BF111C"/>
    <w:rsid w:val="00BF116F"/>
    <w:rsid w:val="00BF14A2"/>
    <w:rsid w:val="00BF1F1D"/>
    <w:rsid w:val="00BF215E"/>
    <w:rsid w:val="00BF23B2"/>
    <w:rsid w:val="00BF258E"/>
    <w:rsid w:val="00BF2D33"/>
    <w:rsid w:val="00BF2D51"/>
    <w:rsid w:val="00BF306E"/>
    <w:rsid w:val="00BF3378"/>
    <w:rsid w:val="00BF3602"/>
    <w:rsid w:val="00BF38F2"/>
    <w:rsid w:val="00BF39F3"/>
    <w:rsid w:val="00BF3C75"/>
    <w:rsid w:val="00BF3C86"/>
    <w:rsid w:val="00BF3E1C"/>
    <w:rsid w:val="00BF3EE4"/>
    <w:rsid w:val="00BF4019"/>
    <w:rsid w:val="00BF410D"/>
    <w:rsid w:val="00BF4344"/>
    <w:rsid w:val="00BF4466"/>
    <w:rsid w:val="00BF4478"/>
    <w:rsid w:val="00BF46AB"/>
    <w:rsid w:val="00BF4A19"/>
    <w:rsid w:val="00BF4B83"/>
    <w:rsid w:val="00BF4DD4"/>
    <w:rsid w:val="00BF514B"/>
    <w:rsid w:val="00BF53CC"/>
    <w:rsid w:val="00BF5C62"/>
    <w:rsid w:val="00BF5F0F"/>
    <w:rsid w:val="00BF625B"/>
    <w:rsid w:val="00BF634C"/>
    <w:rsid w:val="00BF638C"/>
    <w:rsid w:val="00BF6CB8"/>
    <w:rsid w:val="00BF718E"/>
    <w:rsid w:val="00BF7238"/>
    <w:rsid w:val="00BF7660"/>
    <w:rsid w:val="00BF784D"/>
    <w:rsid w:val="00BF7AD9"/>
    <w:rsid w:val="00BF7E33"/>
    <w:rsid w:val="00C00070"/>
    <w:rsid w:val="00C00581"/>
    <w:rsid w:val="00C00590"/>
    <w:rsid w:val="00C006E1"/>
    <w:rsid w:val="00C00A1F"/>
    <w:rsid w:val="00C00BA1"/>
    <w:rsid w:val="00C00FB4"/>
    <w:rsid w:val="00C0123B"/>
    <w:rsid w:val="00C015C6"/>
    <w:rsid w:val="00C017AE"/>
    <w:rsid w:val="00C019CB"/>
    <w:rsid w:val="00C01ECF"/>
    <w:rsid w:val="00C02032"/>
    <w:rsid w:val="00C02175"/>
    <w:rsid w:val="00C02198"/>
    <w:rsid w:val="00C022BA"/>
    <w:rsid w:val="00C0253C"/>
    <w:rsid w:val="00C0256C"/>
    <w:rsid w:val="00C0275D"/>
    <w:rsid w:val="00C02B12"/>
    <w:rsid w:val="00C02C2A"/>
    <w:rsid w:val="00C02CD4"/>
    <w:rsid w:val="00C02DDB"/>
    <w:rsid w:val="00C02DEF"/>
    <w:rsid w:val="00C03167"/>
    <w:rsid w:val="00C03518"/>
    <w:rsid w:val="00C03606"/>
    <w:rsid w:val="00C03A7A"/>
    <w:rsid w:val="00C03C5B"/>
    <w:rsid w:val="00C03D3B"/>
    <w:rsid w:val="00C04461"/>
    <w:rsid w:val="00C04609"/>
    <w:rsid w:val="00C04C6B"/>
    <w:rsid w:val="00C04E9C"/>
    <w:rsid w:val="00C05566"/>
    <w:rsid w:val="00C0560E"/>
    <w:rsid w:val="00C05830"/>
    <w:rsid w:val="00C058C3"/>
    <w:rsid w:val="00C05D89"/>
    <w:rsid w:val="00C05E9E"/>
    <w:rsid w:val="00C065C7"/>
    <w:rsid w:val="00C066EA"/>
    <w:rsid w:val="00C0685D"/>
    <w:rsid w:val="00C06864"/>
    <w:rsid w:val="00C068DD"/>
    <w:rsid w:val="00C069C9"/>
    <w:rsid w:val="00C06C47"/>
    <w:rsid w:val="00C06E06"/>
    <w:rsid w:val="00C070F7"/>
    <w:rsid w:val="00C07325"/>
    <w:rsid w:val="00C07397"/>
    <w:rsid w:val="00C073E9"/>
    <w:rsid w:val="00C07757"/>
    <w:rsid w:val="00C078C8"/>
    <w:rsid w:val="00C07D8D"/>
    <w:rsid w:val="00C07E29"/>
    <w:rsid w:val="00C105E6"/>
    <w:rsid w:val="00C10859"/>
    <w:rsid w:val="00C10886"/>
    <w:rsid w:val="00C10D12"/>
    <w:rsid w:val="00C10E12"/>
    <w:rsid w:val="00C10F5B"/>
    <w:rsid w:val="00C1125C"/>
    <w:rsid w:val="00C113B5"/>
    <w:rsid w:val="00C1151F"/>
    <w:rsid w:val="00C11DA1"/>
    <w:rsid w:val="00C11E80"/>
    <w:rsid w:val="00C12052"/>
    <w:rsid w:val="00C1224C"/>
    <w:rsid w:val="00C12390"/>
    <w:rsid w:val="00C124A4"/>
    <w:rsid w:val="00C124FC"/>
    <w:rsid w:val="00C12C2A"/>
    <w:rsid w:val="00C13362"/>
    <w:rsid w:val="00C136AD"/>
    <w:rsid w:val="00C138D9"/>
    <w:rsid w:val="00C139AB"/>
    <w:rsid w:val="00C13AF9"/>
    <w:rsid w:val="00C13D82"/>
    <w:rsid w:val="00C14320"/>
    <w:rsid w:val="00C14478"/>
    <w:rsid w:val="00C153B0"/>
    <w:rsid w:val="00C154A8"/>
    <w:rsid w:val="00C1593D"/>
    <w:rsid w:val="00C15C50"/>
    <w:rsid w:val="00C1651E"/>
    <w:rsid w:val="00C16847"/>
    <w:rsid w:val="00C16A00"/>
    <w:rsid w:val="00C16A92"/>
    <w:rsid w:val="00C16C85"/>
    <w:rsid w:val="00C178B4"/>
    <w:rsid w:val="00C17973"/>
    <w:rsid w:val="00C17B5E"/>
    <w:rsid w:val="00C20188"/>
    <w:rsid w:val="00C2029C"/>
    <w:rsid w:val="00C20637"/>
    <w:rsid w:val="00C20A59"/>
    <w:rsid w:val="00C20D7B"/>
    <w:rsid w:val="00C20E07"/>
    <w:rsid w:val="00C20EBA"/>
    <w:rsid w:val="00C211A0"/>
    <w:rsid w:val="00C214AF"/>
    <w:rsid w:val="00C21679"/>
    <w:rsid w:val="00C217E4"/>
    <w:rsid w:val="00C21CAF"/>
    <w:rsid w:val="00C21D76"/>
    <w:rsid w:val="00C21E0B"/>
    <w:rsid w:val="00C21F10"/>
    <w:rsid w:val="00C21FD1"/>
    <w:rsid w:val="00C2205D"/>
    <w:rsid w:val="00C22174"/>
    <w:rsid w:val="00C22265"/>
    <w:rsid w:val="00C225D1"/>
    <w:rsid w:val="00C2297B"/>
    <w:rsid w:val="00C22ED3"/>
    <w:rsid w:val="00C23218"/>
    <w:rsid w:val="00C2396B"/>
    <w:rsid w:val="00C23B10"/>
    <w:rsid w:val="00C23D5B"/>
    <w:rsid w:val="00C23DC7"/>
    <w:rsid w:val="00C23E64"/>
    <w:rsid w:val="00C23F6C"/>
    <w:rsid w:val="00C2407F"/>
    <w:rsid w:val="00C241A5"/>
    <w:rsid w:val="00C2428C"/>
    <w:rsid w:val="00C24507"/>
    <w:rsid w:val="00C2480D"/>
    <w:rsid w:val="00C248BB"/>
    <w:rsid w:val="00C249D2"/>
    <w:rsid w:val="00C24B02"/>
    <w:rsid w:val="00C24C47"/>
    <w:rsid w:val="00C25173"/>
    <w:rsid w:val="00C25283"/>
    <w:rsid w:val="00C253C1"/>
    <w:rsid w:val="00C255B5"/>
    <w:rsid w:val="00C25903"/>
    <w:rsid w:val="00C25A6F"/>
    <w:rsid w:val="00C25AF5"/>
    <w:rsid w:val="00C25C89"/>
    <w:rsid w:val="00C25CAE"/>
    <w:rsid w:val="00C25F21"/>
    <w:rsid w:val="00C25FD6"/>
    <w:rsid w:val="00C2654C"/>
    <w:rsid w:val="00C266F8"/>
    <w:rsid w:val="00C26800"/>
    <w:rsid w:val="00C269BE"/>
    <w:rsid w:val="00C26B89"/>
    <w:rsid w:val="00C26D2F"/>
    <w:rsid w:val="00C26D45"/>
    <w:rsid w:val="00C26DF0"/>
    <w:rsid w:val="00C26E56"/>
    <w:rsid w:val="00C2713C"/>
    <w:rsid w:val="00C2725E"/>
    <w:rsid w:val="00C27343"/>
    <w:rsid w:val="00C277C3"/>
    <w:rsid w:val="00C27915"/>
    <w:rsid w:val="00C279F6"/>
    <w:rsid w:val="00C27A45"/>
    <w:rsid w:val="00C27C94"/>
    <w:rsid w:val="00C27DA0"/>
    <w:rsid w:val="00C27DEB"/>
    <w:rsid w:val="00C3000C"/>
    <w:rsid w:val="00C300A2"/>
    <w:rsid w:val="00C30189"/>
    <w:rsid w:val="00C30823"/>
    <w:rsid w:val="00C309A8"/>
    <w:rsid w:val="00C310A5"/>
    <w:rsid w:val="00C310FF"/>
    <w:rsid w:val="00C311D1"/>
    <w:rsid w:val="00C317B2"/>
    <w:rsid w:val="00C317BB"/>
    <w:rsid w:val="00C31C19"/>
    <w:rsid w:val="00C31CC6"/>
    <w:rsid w:val="00C31D8B"/>
    <w:rsid w:val="00C31E76"/>
    <w:rsid w:val="00C31F27"/>
    <w:rsid w:val="00C32F29"/>
    <w:rsid w:val="00C32F49"/>
    <w:rsid w:val="00C33089"/>
    <w:rsid w:val="00C33236"/>
    <w:rsid w:val="00C33409"/>
    <w:rsid w:val="00C3341E"/>
    <w:rsid w:val="00C33575"/>
    <w:rsid w:val="00C341F0"/>
    <w:rsid w:val="00C342C1"/>
    <w:rsid w:val="00C346A3"/>
    <w:rsid w:val="00C3475F"/>
    <w:rsid w:val="00C34A91"/>
    <w:rsid w:val="00C34ABC"/>
    <w:rsid w:val="00C34E2B"/>
    <w:rsid w:val="00C351E8"/>
    <w:rsid w:val="00C35250"/>
    <w:rsid w:val="00C35473"/>
    <w:rsid w:val="00C35741"/>
    <w:rsid w:val="00C3584C"/>
    <w:rsid w:val="00C35D79"/>
    <w:rsid w:val="00C36219"/>
    <w:rsid w:val="00C36815"/>
    <w:rsid w:val="00C36B4F"/>
    <w:rsid w:val="00C36C11"/>
    <w:rsid w:val="00C36CA3"/>
    <w:rsid w:val="00C36E0B"/>
    <w:rsid w:val="00C36EEC"/>
    <w:rsid w:val="00C37278"/>
    <w:rsid w:val="00C37664"/>
    <w:rsid w:val="00C37803"/>
    <w:rsid w:val="00C37DE5"/>
    <w:rsid w:val="00C4088E"/>
    <w:rsid w:val="00C40890"/>
    <w:rsid w:val="00C40982"/>
    <w:rsid w:val="00C40D9E"/>
    <w:rsid w:val="00C40FF1"/>
    <w:rsid w:val="00C414D5"/>
    <w:rsid w:val="00C41AB0"/>
    <w:rsid w:val="00C41B0B"/>
    <w:rsid w:val="00C41F37"/>
    <w:rsid w:val="00C41FBE"/>
    <w:rsid w:val="00C42641"/>
    <w:rsid w:val="00C42B65"/>
    <w:rsid w:val="00C42E58"/>
    <w:rsid w:val="00C42FC7"/>
    <w:rsid w:val="00C4328D"/>
    <w:rsid w:val="00C43FAF"/>
    <w:rsid w:val="00C442BA"/>
    <w:rsid w:val="00C44353"/>
    <w:rsid w:val="00C44358"/>
    <w:rsid w:val="00C44F55"/>
    <w:rsid w:val="00C44F58"/>
    <w:rsid w:val="00C4501C"/>
    <w:rsid w:val="00C45D06"/>
    <w:rsid w:val="00C46023"/>
    <w:rsid w:val="00C467C0"/>
    <w:rsid w:val="00C46A52"/>
    <w:rsid w:val="00C46DB9"/>
    <w:rsid w:val="00C46DC1"/>
    <w:rsid w:val="00C46DDC"/>
    <w:rsid w:val="00C46EA3"/>
    <w:rsid w:val="00C46F74"/>
    <w:rsid w:val="00C476F9"/>
    <w:rsid w:val="00C47942"/>
    <w:rsid w:val="00C47B99"/>
    <w:rsid w:val="00C47BB2"/>
    <w:rsid w:val="00C47D28"/>
    <w:rsid w:val="00C47E5C"/>
    <w:rsid w:val="00C50210"/>
    <w:rsid w:val="00C50229"/>
    <w:rsid w:val="00C50375"/>
    <w:rsid w:val="00C506D5"/>
    <w:rsid w:val="00C5071D"/>
    <w:rsid w:val="00C50F2F"/>
    <w:rsid w:val="00C51285"/>
    <w:rsid w:val="00C51451"/>
    <w:rsid w:val="00C5175D"/>
    <w:rsid w:val="00C519A9"/>
    <w:rsid w:val="00C51D0A"/>
    <w:rsid w:val="00C51E96"/>
    <w:rsid w:val="00C51FDC"/>
    <w:rsid w:val="00C526F2"/>
    <w:rsid w:val="00C5277B"/>
    <w:rsid w:val="00C529E6"/>
    <w:rsid w:val="00C529E8"/>
    <w:rsid w:val="00C52BA2"/>
    <w:rsid w:val="00C52EC0"/>
    <w:rsid w:val="00C53101"/>
    <w:rsid w:val="00C5318D"/>
    <w:rsid w:val="00C53368"/>
    <w:rsid w:val="00C5344B"/>
    <w:rsid w:val="00C53699"/>
    <w:rsid w:val="00C5419B"/>
    <w:rsid w:val="00C54601"/>
    <w:rsid w:val="00C547AC"/>
    <w:rsid w:val="00C5486E"/>
    <w:rsid w:val="00C548A9"/>
    <w:rsid w:val="00C54B04"/>
    <w:rsid w:val="00C54B44"/>
    <w:rsid w:val="00C54CCB"/>
    <w:rsid w:val="00C5541A"/>
    <w:rsid w:val="00C5561B"/>
    <w:rsid w:val="00C55934"/>
    <w:rsid w:val="00C55A01"/>
    <w:rsid w:val="00C55A38"/>
    <w:rsid w:val="00C55C3C"/>
    <w:rsid w:val="00C560C2"/>
    <w:rsid w:val="00C5686E"/>
    <w:rsid w:val="00C56BCE"/>
    <w:rsid w:val="00C56D1A"/>
    <w:rsid w:val="00C56DE8"/>
    <w:rsid w:val="00C571AE"/>
    <w:rsid w:val="00C572F1"/>
    <w:rsid w:val="00C57726"/>
    <w:rsid w:val="00C577DC"/>
    <w:rsid w:val="00C5790F"/>
    <w:rsid w:val="00C57C39"/>
    <w:rsid w:val="00C57D14"/>
    <w:rsid w:val="00C6004E"/>
    <w:rsid w:val="00C601F2"/>
    <w:rsid w:val="00C60208"/>
    <w:rsid w:val="00C6058E"/>
    <w:rsid w:val="00C60893"/>
    <w:rsid w:val="00C60BA0"/>
    <w:rsid w:val="00C60F75"/>
    <w:rsid w:val="00C60FAA"/>
    <w:rsid w:val="00C610B6"/>
    <w:rsid w:val="00C612B5"/>
    <w:rsid w:val="00C61685"/>
    <w:rsid w:val="00C61AAD"/>
    <w:rsid w:val="00C622C8"/>
    <w:rsid w:val="00C624F1"/>
    <w:rsid w:val="00C62529"/>
    <w:rsid w:val="00C6266E"/>
    <w:rsid w:val="00C62C26"/>
    <w:rsid w:val="00C63328"/>
    <w:rsid w:val="00C63435"/>
    <w:rsid w:val="00C63601"/>
    <w:rsid w:val="00C63683"/>
    <w:rsid w:val="00C63897"/>
    <w:rsid w:val="00C63F01"/>
    <w:rsid w:val="00C64341"/>
    <w:rsid w:val="00C64702"/>
    <w:rsid w:val="00C64758"/>
    <w:rsid w:val="00C647E3"/>
    <w:rsid w:val="00C64D79"/>
    <w:rsid w:val="00C64E16"/>
    <w:rsid w:val="00C64E83"/>
    <w:rsid w:val="00C65234"/>
    <w:rsid w:val="00C654E4"/>
    <w:rsid w:val="00C656E0"/>
    <w:rsid w:val="00C65CEF"/>
    <w:rsid w:val="00C66119"/>
    <w:rsid w:val="00C6616F"/>
    <w:rsid w:val="00C66191"/>
    <w:rsid w:val="00C661F6"/>
    <w:rsid w:val="00C66475"/>
    <w:rsid w:val="00C66593"/>
    <w:rsid w:val="00C66A4A"/>
    <w:rsid w:val="00C66B5B"/>
    <w:rsid w:val="00C67069"/>
    <w:rsid w:val="00C6787D"/>
    <w:rsid w:val="00C67886"/>
    <w:rsid w:val="00C678CD"/>
    <w:rsid w:val="00C679A8"/>
    <w:rsid w:val="00C67A01"/>
    <w:rsid w:val="00C67E4A"/>
    <w:rsid w:val="00C7007F"/>
    <w:rsid w:val="00C700DD"/>
    <w:rsid w:val="00C7010A"/>
    <w:rsid w:val="00C70262"/>
    <w:rsid w:val="00C70397"/>
    <w:rsid w:val="00C70898"/>
    <w:rsid w:val="00C7089A"/>
    <w:rsid w:val="00C70D95"/>
    <w:rsid w:val="00C71032"/>
    <w:rsid w:val="00C7180B"/>
    <w:rsid w:val="00C71BFA"/>
    <w:rsid w:val="00C71F91"/>
    <w:rsid w:val="00C72463"/>
    <w:rsid w:val="00C72712"/>
    <w:rsid w:val="00C72BBB"/>
    <w:rsid w:val="00C72E1F"/>
    <w:rsid w:val="00C72FC0"/>
    <w:rsid w:val="00C73025"/>
    <w:rsid w:val="00C7335E"/>
    <w:rsid w:val="00C7346A"/>
    <w:rsid w:val="00C735E8"/>
    <w:rsid w:val="00C73654"/>
    <w:rsid w:val="00C737FB"/>
    <w:rsid w:val="00C738A3"/>
    <w:rsid w:val="00C738B6"/>
    <w:rsid w:val="00C73AE9"/>
    <w:rsid w:val="00C73ED7"/>
    <w:rsid w:val="00C74502"/>
    <w:rsid w:val="00C74800"/>
    <w:rsid w:val="00C74914"/>
    <w:rsid w:val="00C74983"/>
    <w:rsid w:val="00C74A32"/>
    <w:rsid w:val="00C74B8C"/>
    <w:rsid w:val="00C74D66"/>
    <w:rsid w:val="00C74E17"/>
    <w:rsid w:val="00C74E19"/>
    <w:rsid w:val="00C74FF2"/>
    <w:rsid w:val="00C75A9A"/>
    <w:rsid w:val="00C75C9D"/>
    <w:rsid w:val="00C75F0D"/>
    <w:rsid w:val="00C763E5"/>
    <w:rsid w:val="00C7665A"/>
    <w:rsid w:val="00C76C16"/>
    <w:rsid w:val="00C76EC9"/>
    <w:rsid w:val="00C76FFB"/>
    <w:rsid w:val="00C77221"/>
    <w:rsid w:val="00C77279"/>
    <w:rsid w:val="00C774DC"/>
    <w:rsid w:val="00C77588"/>
    <w:rsid w:val="00C7768B"/>
    <w:rsid w:val="00C778F7"/>
    <w:rsid w:val="00C77C54"/>
    <w:rsid w:val="00C77E28"/>
    <w:rsid w:val="00C801FF"/>
    <w:rsid w:val="00C80207"/>
    <w:rsid w:val="00C80431"/>
    <w:rsid w:val="00C8048E"/>
    <w:rsid w:val="00C80C1D"/>
    <w:rsid w:val="00C80C27"/>
    <w:rsid w:val="00C80E14"/>
    <w:rsid w:val="00C819EA"/>
    <w:rsid w:val="00C81AAE"/>
    <w:rsid w:val="00C81E35"/>
    <w:rsid w:val="00C81E3F"/>
    <w:rsid w:val="00C81EBA"/>
    <w:rsid w:val="00C8207F"/>
    <w:rsid w:val="00C8216B"/>
    <w:rsid w:val="00C8229F"/>
    <w:rsid w:val="00C8238E"/>
    <w:rsid w:val="00C82626"/>
    <w:rsid w:val="00C82629"/>
    <w:rsid w:val="00C82AD3"/>
    <w:rsid w:val="00C82D63"/>
    <w:rsid w:val="00C82E8F"/>
    <w:rsid w:val="00C83210"/>
    <w:rsid w:val="00C832B6"/>
    <w:rsid w:val="00C8350F"/>
    <w:rsid w:val="00C8357B"/>
    <w:rsid w:val="00C835A5"/>
    <w:rsid w:val="00C836D9"/>
    <w:rsid w:val="00C8372E"/>
    <w:rsid w:val="00C837B2"/>
    <w:rsid w:val="00C83948"/>
    <w:rsid w:val="00C839CD"/>
    <w:rsid w:val="00C83C36"/>
    <w:rsid w:val="00C83CDC"/>
    <w:rsid w:val="00C83DA4"/>
    <w:rsid w:val="00C83EAC"/>
    <w:rsid w:val="00C84315"/>
    <w:rsid w:val="00C84350"/>
    <w:rsid w:val="00C843EF"/>
    <w:rsid w:val="00C84532"/>
    <w:rsid w:val="00C845A6"/>
    <w:rsid w:val="00C84A30"/>
    <w:rsid w:val="00C85012"/>
    <w:rsid w:val="00C85077"/>
    <w:rsid w:val="00C855A2"/>
    <w:rsid w:val="00C8574A"/>
    <w:rsid w:val="00C857CE"/>
    <w:rsid w:val="00C85943"/>
    <w:rsid w:val="00C863BB"/>
    <w:rsid w:val="00C864B4"/>
    <w:rsid w:val="00C86836"/>
    <w:rsid w:val="00C868AB"/>
    <w:rsid w:val="00C868CD"/>
    <w:rsid w:val="00C87894"/>
    <w:rsid w:val="00C879ED"/>
    <w:rsid w:val="00C90038"/>
    <w:rsid w:val="00C90398"/>
    <w:rsid w:val="00C90CFF"/>
    <w:rsid w:val="00C90E38"/>
    <w:rsid w:val="00C90ECE"/>
    <w:rsid w:val="00C914CE"/>
    <w:rsid w:val="00C91AB9"/>
    <w:rsid w:val="00C91D93"/>
    <w:rsid w:val="00C91F2B"/>
    <w:rsid w:val="00C92034"/>
    <w:rsid w:val="00C9221B"/>
    <w:rsid w:val="00C92373"/>
    <w:rsid w:val="00C929FD"/>
    <w:rsid w:val="00C92C2A"/>
    <w:rsid w:val="00C92D5C"/>
    <w:rsid w:val="00C9303F"/>
    <w:rsid w:val="00C936AD"/>
    <w:rsid w:val="00C936F0"/>
    <w:rsid w:val="00C93727"/>
    <w:rsid w:val="00C937F5"/>
    <w:rsid w:val="00C937FD"/>
    <w:rsid w:val="00C93A87"/>
    <w:rsid w:val="00C93E95"/>
    <w:rsid w:val="00C940D2"/>
    <w:rsid w:val="00C941C7"/>
    <w:rsid w:val="00C942A1"/>
    <w:rsid w:val="00C943A8"/>
    <w:rsid w:val="00C94593"/>
    <w:rsid w:val="00C946A9"/>
    <w:rsid w:val="00C94F2E"/>
    <w:rsid w:val="00C95177"/>
    <w:rsid w:val="00C9525D"/>
    <w:rsid w:val="00C9534E"/>
    <w:rsid w:val="00C95718"/>
    <w:rsid w:val="00C95844"/>
    <w:rsid w:val="00C959B8"/>
    <w:rsid w:val="00C95D16"/>
    <w:rsid w:val="00C95E4C"/>
    <w:rsid w:val="00C95FD6"/>
    <w:rsid w:val="00C962C5"/>
    <w:rsid w:val="00C96424"/>
    <w:rsid w:val="00C96E08"/>
    <w:rsid w:val="00C96E72"/>
    <w:rsid w:val="00C974F3"/>
    <w:rsid w:val="00C9768D"/>
    <w:rsid w:val="00C979C1"/>
    <w:rsid w:val="00C97C17"/>
    <w:rsid w:val="00C97ED4"/>
    <w:rsid w:val="00C97ED9"/>
    <w:rsid w:val="00CA05E0"/>
    <w:rsid w:val="00CA08AE"/>
    <w:rsid w:val="00CA0A0C"/>
    <w:rsid w:val="00CA0AA8"/>
    <w:rsid w:val="00CA0AAD"/>
    <w:rsid w:val="00CA0D42"/>
    <w:rsid w:val="00CA0E01"/>
    <w:rsid w:val="00CA12D0"/>
    <w:rsid w:val="00CA1358"/>
    <w:rsid w:val="00CA13E0"/>
    <w:rsid w:val="00CA1885"/>
    <w:rsid w:val="00CA1CE2"/>
    <w:rsid w:val="00CA22C8"/>
    <w:rsid w:val="00CA2307"/>
    <w:rsid w:val="00CA24BD"/>
    <w:rsid w:val="00CA283C"/>
    <w:rsid w:val="00CA2840"/>
    <w:rsid w:val="00CA2891"/>
    <w:rsid w:val="00CA2AD3"/>
    <w:rsid w:val="00CA2B76"/>
    <w:rsid w:val="00CA2BCE"/>
    <w:rsid w:val="00CA2DFA"/>
    <w:rsid w:val="00CA2E96"/>
    <w:rsid w:val="00CA2FC6"/>
    <w:rsid w:val="00CA2FD6"/>
    <w:rsid w:val="00CA306E"/>
    <w:rsid w:val="00CA3147"/>
    <w:rsid w:val="00CA329D"/>
    <w:rsid w:val="00CA32D8"/>
    <w:rsid w:val="00CA3395"/>
    <w:rsid w:val="00CA34B4"/>
    <w:rsid w:val="00CA36C1"/>
    <w:rsid w:val="00CA3A75"/>
    <w:rsid w:val="00CA3A85"/>
    <w:rsid w:val="00CA3C4D"/>
    <w:rsid w:val="00CA4346"/>
    <w:rsid w:val="00CA4AD4"/>
    <w:rsid w:val="00CA4CAA"/>
    <w:rsid w:val="00CA4E49"/>
    <w:rsid w:val="00CA5DFA"/>
    <w:rsid w:val="00CA6342"/>
    <w:rsid w:val="00CA6531"/>
    <w:rsid w:val="00CA6590"/>
    <w:rsid w:val="00CA65F6"/>
    <w:rsid w:val="00CA679C"/>
    <w:rsid w:val="00CA6A6A"/>
    <w:rsid w:val="00CA6B44"/>
    <w:rsid w:val="00CA6EFE"/>
    <w:rsid w:val="00CA70BB"/>
    <w:rsid w:val="00CA7487"/>
    <w:rsid w:val="00CA752C"/>
    <w:rsid w:val="00CA780A"/>
    <w:rsid w:val="00CA7BD2"/>
    <w:rsid w:val="00CA7E5D"/>
    <w:rsid w:val="00CA7F24"/>
    <w:rsid w:val="00CA7FB1"/>
    <w:rsid w:val="00CB04FD"/>
    <w:rsid w:val="00CB052B"/>
    <w:rsid w:val="00CB0600"/>
    <w:rsid w:val="00CB065D"/>
    <w:rsid w:val="00CB0A2D"/>
    <w:rsid w:val="00CB0F74"/>
    <w:rsid w:val="00CB104C"/>
    <w:rsid w:val="00CB13BF"/>
    <w:rsid w:val="00CB13D7"/>
    <w:rsid w:val="00CB15B8"/>
    <w:rsid w:val="00CB165F"/>
    <w:rsid w:val="00CB19E4"/>
    <w:rsid w:val="00CB20BD"/>
    <w:rsid w:val="00CB2102"/>
    <w:rsid w:val="00CB23D7"/>
    <w:rsid w:val="00CB25C9"/>
    <w:rsid w:val="00CB2660"/>
    <w:rsid w:val="00CB281E"/>
    <w:rsid w:val="00CB28F5"/>
    <w:rsid w:val="00CB29A0"/>
    <w:rsid w:val="00CB2ADC"/>
    <w:rsid w:val="00CB2E9A"/>
    <w:rsid w:val="00CB314A"/>
    <w:rsid w:val="00CB3277"/>
    <w:rsid w:val="00CB3412"/>
    <w:rsid w:val="00CB3694"/>
    <w:rsid w:val="00CB394E"/>
    <w:rsid w:val="00CB3A7F"/>
    <w:rsid w:val="00CB3CA5"/>
    <w:rsid w:val="00CB3E13"/>
    <w:rsid w:val="00CB400C"/>
    <w:rsid w:val="00CB40D0"/>
    <w:rsid w:val="00CB40E6"/>
    <w:rsid w:val="00CB4229"/>
    <w:rsid w:val="00CB4476"/>
    <w:rsid w:val="00CB4582"/>
    <w:rsid w:val="00CB4609"/>
    <w:rsid w:val="00CB4901"/>
    <w:rsid w:val="00CB4C28"/>
    <w:rsid w:val="00CB5616"/>
    <w:rsid w:val="00CB616B"/>
    <w:rsid w:val="00CB6296"/>
    <w:rsid w:val="00CB6447"/>
    <w:rsid w:val="00CB6852"/>
    <w:rsid w:val="00CB6861"/>
    <w:rsid w:val="00CB68C8"/>
    <w:rsid w:val="00CB69D4"/>
    <w:rsid w:val="00CB6E78"/>
    <w:rsid w:val="00CB7075"/>
    <w:rsid w:val="00CB73DE"/>
    <w:rsid w:val="00CB761B"/>
    <w:rsid w:val="00CB7BA4"/>
    <w:rsid w:val="00CB7EB8"/>
    <w:rsid w:val="00CC00F7"/>
    <w:rsid w:val="00CC0146"/>
    <w:rsid w:val="00CC020F"/>
    <w:rsid w:val="00CC0433"/>
    <w:rsid w:val="00CC06A7"/>
    <w:rsid w:val="00CC06B6"/>
    <w:rsid w:val="00CC0862"/>
    <w:rsid w:val="00CC0A6A"/>
    <w:rsid w:val="00CC0D0F"/>
    <w:rsid w:val="00CC132B"/>
    <w:rsid w:val="00CC13AD"/>
    <w:rsid w:val="00CC1818"/>
    <w:rsid w:val="00CC1A30"/>
    <w:rsid w:val="00CC1BA5"/>
    <w:rsid w:val="00CC1BD5"/>
    <w:rsid w:val="00CC1F93"/>
    <w:rsid w:val="00CC1FD5"/>
    <w:rsid w:val="00CC22AF"/>
    <w:rsid w:val="00CC2314"/>
    <w:rsid w:val="00CC23C9"/>
    <w:rsid w:val="00CC2485"/>
    <w:rsid w:val="00CC25A7"/>
    <w:rsid w:val="00CC2B19"/>
    <w:rsid w:val="00CC2C61"/>
    <w:rsid w:val="00CC3090"/>
    <w:rsid w:val="00CC3211"/>
    <w:rsid w:val="00CC334A"/>
    <w:rsid w:val="00CC3655"/>
    <w:rsid w:val="00CC3807"/>
    <w:rsid w:val="00CC38D7"/>
    <w:rsid w:val="00CC3A95"/>
    <w:rsid w:val="00CC3B50"/>
    <w:rsid w:val="00CC44FF"/>
    <w:rsid w:val="00CC46E1"/>
    <w:rsid w:val="00CC4B50"/>
    <w:rsid w:val="00CC4BC0"/>
    <w:rsid w:val="00CC59D2"/>
    <w:rsid w:val="00CC5A6B"/>
    <w:rsid w:val="00CC5C81"/>
    <w:rsid w:val="00CC5EEA"/>
    <w:rsid w:val="00CC602D"/>
    <w:rsid w:val="00CC63BB"/>
    <w:rsid w:val="00CC6549"/>
    <w:rsid w:val="00CC6B5A"/>
    <w:rsid w:val="00CC6C39"/>
    <w:rsid w:val="00CC6FFF"/>
    <w:rsid w:val="00CC71E8"/>
    <w:rsid w:val="00CC7293"/>
    <w:rsid w:val="00CC72DE"/>
    <w:rsid w:val="00CC73ED"/>
    <w:rsid w:val="00CC7597"/>
    <w:rsid w:val="00CC75C1"/>
    <w:rsid w:val="00CC7790"/>
    <w:rsid w:val="00CC7935"/>
    <w:rsid w:val="00CC7A23"/>
    <w:rsid w:val="00CC7B4D"/>
    <w:rsid w:val="00CD011F"/>
    <w:rsid w:val="00CD038C"/>
    <w:rsid w:val="00CD094C"/>
    <w:rsid w:val="00CD0EC9"/>
    <w:rsid w:val="00CD0F57"/>
    <w:rsid w:val="00CD0FEA"/>
    <w:rsid w:val="00CD1010"/>
    <w:rsid w:val="00CD1073"/>
    <w:rsid w:val="00CD1133"/>
    <w:rsid w:val="00CD1168"/>
    <w:rsid w:val="00CD116D"/>
    <w:rsid w:val="00CD1193"/>
    <w:rsid w:val="00CD1194"/>
    <w:rsid w:val="00CD125E"/>
    <w:rsid w:val="00CD1770"/>
    <w:rsid w:val="00CD1797"/>
    <w:rsid w:val="00CD1840"/>
    <w:rsid w:val="00CD1914"/>
    <w:rsid w:val="00CD1995"/>
    <w:rsid w:val="00CD19CA"/>
    <w:rsid w:val="00CD1B85"/>
    <w:rsid w:val="00CD2065"/>
    <w:rsid w:val="00CD21E6"/>
    <w:rsid w:val="00CD2544"/>
    <w:rsid w:val="00CD2777"/>
    <w:rsid w:val="00CD2D3A"/>
    <w:rsid w:val="00CD2DD8"/>
    <w:rsid w:val="00CD2E6B"/>
    <w:rsid w:val="00CD31A8"/>
    <w:rsid w:val="00CD34FE"/>
    <w:rsid w:val="00CD35EC"/>
    <w:rsid w:val="00CD3EC6"/>
    <w:rsid w:val="00CD3FF8"/>
    <w:rsid w:val="00CD401B"/>
    <w:rsid w:val="00CD41BA"/>
    <w:rsid w:val="00CD41F8"/>
    <w:rsid w:val="00CD438C"/>
    <w:rsid w:val="00CD44E7"/>
    <w:rsid w:val="00CD4D23"/>
    <w:rsid w:val="00CD4DEE"/>
    <w:rsid w:val="00CD5047"/>
    <w:rsid w:val="00CD50CB"/>
    <w:rsid w:val="00CD5391"/>
    <w:rsid w:val="00CD53E5"/>
    <w:rsid w:val="00CD5650"/>
    <w:rsid w:val="00CD5823"/>
    <w:rsid w:val="00CD5A46"/>
    <w:rsid w:val="00CD5DB1"/>
    <w:rsid w:val="00CD5F76"/>
    <w:rsid w:val="00CD5F8F"/>
    <w:rsid w:val="00CD63A5"/>
    <w:rsid w:val="00CD6792"/>
    <w:rsid w:val="00CD6C3C"/>
    <w:rsid w:val="00CD70DF"/>
    <w:rsid w:val="00CD724D"/>
    <w:rsid w:val="00CD77D7"/>
    <w:rsid w:val="00CD796E"/>
    <w:rsid w:val="00CD79B1"/>
    <w:rsid w:val="00CD7DBB"/>
    <w:rsid w:val="00CD7EFE"/>
    <w:rsid w:val="00CD7F5B"/>
    <w:rsid w:val="00CD7FEB"/>
    <w:rsid w:val="00CE028D"/>
    <w:rsid w:val="00CE0DE4"/>
    <w:rsid w:val="00CE10E1"/>
    <w:rsid w:val="00CE1191"/>
    <w:rsid w:val="00CE1557"/>
    <w:rsid w:val="00CE17A9"/>
    <w:rsid w:val="00CE18B6"/>
    <w:rsid w:val="00CE2092"/>
    <w:rsid w:val="00CE22C5"/>
    <w:rsid w:val="00CE25B1"/>
    <w:rsid w:val="00CE2780"/>
    <w:rsid w:val="00CE27CE"/>
    <w:rsid w:val="00CE2DBB"/>
    <w:rsid w:val="00CE2F67"/>
    <w:rsid w:val="00CE306E"/>
    <w:rsid w:val="00CE30BC"/>
    <w:rsid w:val="00CE32AD"/>
    <w:rsid w:val="00CE3406"/>
    <w:rsid w:val="00CE36F9"/>
    <w:rsid w:val="00CE38E5"/>
    <w:rsid w:val="00CE3E92"/>
    <w:rsid w:val="00CE3F81"/>
    <w:rsid w:val="00CE42D4"/>
    <w:rsid w:val="00CE42E0"/>
    <w:rsid w:val="00CE47B1"/>
    <w:rsid w:val="00CE4826"/>
    <w:rsid w:val="00CE4C67"/>
    <w:rsid w:val="00CE4CAD"/>
    <w:rsid w:val="00CE527E"/>
    <w:rsid w:val="00CE531B"/>
    <w:rsid w:val="00CE5520"/>
    <w:rsid w:val="00CE60BE"/>
    <w:rsid w:val="00CE610A"/>
    <w:rsid w:val="00CE610E"/>
    <w:rsid w:val="00CE61EE"/>
    <w:rsid w:val="00CE63C6"/>
    <w:rsid w:val="00CE64E9"/>
    <w:rsid w:val="00CE6674"/>
    <w:rsid w:val="00CE6704"/>
    <w:rsid w:val="00CE67D2"/>
    <w:rsid w:val="00CE69D9"/>
    <w:rsid w:val="00CE732E"/>
    <w:rsid w:val="00CE73DF"/>
    <w:rsid w:val="00CE741E"/>
    <w:rsid w:val="00CE7534"/>
    <w:rsid w:val="00CE782A"/>
    <w:rsid w:val="00CE7944"/>
    <w:rsid w:val="00CE79B2"/>
    <w:rsid w:val="00CE7A75"/>
    <w:rsid w:val="00CE7A98"/>
    <w:rsid w:val="00CE7AD4"/>
    <w:rsid w:val="00CE7BF4"/>
    <w:rsid w:val="00CF0159"/>
    <w:rsid w:val="00CF02C0"/>
    <w:rsid w:val="00CF02DD"/>
    <w:rsid w:val="00CF0366"/>
    <w:rsid w:val="00CF062E"/>
    <w:rsid w:val="00CF0958"/>
    <w:rsid w:val="00CF0A3E"/>
    <w:rsid w:val="00CF0BE7"/>
    <w:rsid w:val="00CF0CAB"/>
    <w:rsid w:val="00CF10B9"/>
    <w:rsid w:val="00CF16F4"/>
    <w:rsid w:val="00CF1F9A"/>
    <w:rsid w:val="00CF27C5"/>
    <w:rsid w:val="00CF28D9"/>
    <w:rsid w:val="00CF2AF8"/>
    <w:rsid w:val="00CF2C6B"/>
    <w:rsid w:val="00CF2CBC"/>
    <w:rsid w:val="00CF2E6A"/>
    <w:rsid w:val="00CF2F4E"/>
    <w:rsid w:val="00CF2F93"/>
    <w:rsid w:val="00CF3338"/>
    <w:rsid w:val="00CF34C6"/>
    <w:rsid w:val="00CF3676"/>
    <w:rsid w:val="00CF39BD"/>
    <w:rsid w:val="00CF3A48"/>
    <w:rsid w:val="00CF3BAC"/>
    <w:rsid w:val="00CF3C5C"/>
    <w:rsid w:val="00CF4589"/>
    <w:rsid w:val="00CF4652"/>
    <w:rsid w:val="00CF4A26"/>
    <w:rsid w:val="00CF514E"/>
    <w:rsid w:val="00CF57FD"/>
    <w:rsid w:val="00CF5A39"/>
    <w:rsid w:val="00CF5AAE"/>
    <w:rsid w:val="00CF5BA9"/>
    <w:rsid w:val="00CF5CAD"/>
    <w:rsid w:val="00CF5FD4"/>
    <w:rsid w:val="00CF665A"/>
    <w:rsid w:val="00CF6D74"/>
    <w:rsid w:val="00CF6E26"/>
    <w:rsid w:val="00CF6EC6"/>
    <w:rsid w:val="00CF72AB"/>
    <w:rsid w:val="00CF733F"/>
    <w:rsid w:val="00CF74E5"/>
    <w:rsid w:val="00CF76EF"/>
    <w:rsid w:val="00CF77E8"/>
    <w:rsid w:val="00CF7B11"/>
    <w:rsid w:val="00CF7B15"/>
    <w:rsid w:val="00D00301"/>
    <w:rsid w:val="00D003F3"/>
    <w:rsid w:val="00D00AF8"/>
    <w:rsid w:val="00D00F4E"/>
    <w:rsid w:val="00D00FA5"/>
    <w:rsid w:val="00D013CE"/>
    <w:rsid w:val="00D01690"/>
    <w:rsid w:val="00D018BA"/>
    <w:rsid w:val="00D0190C"/>
    <w:rsid w:val="00D01911"/>
    <w:rsid w:val="00D020A5"/>
    <w:rsid w:val="00D026C0"/>
    <w:rsid w:val="00D027D7"/>
    <w:rsid w:val="00D02A81"/>
    <w:rsid w:val="00D02BAE"/>
    <w:rsid w:val="00D02D08"/>
    <w:rsid w:val="00D02E92"/>
    <w:rsid w:val="00D03147"/>
    <w:rsid w:val="00D03741"/>
    <w:rsid w:val="00D03A41"/>
    <w:rsid w:val="00D03A58"/>
    <w:rsid w:val="00D03D28"/>
    <w:rsid w:val="00D03FCD"/>
    <w:rsid w:val="00D046A5"/>
    <w:rsid w:val="00D048E2"/>
    <w:rsid w:val="00D0496C"/>
    <w:rsid w:val="00D04ABB"/>
    <w:rsid w:val="00D04C85"/>
    <w:rsid w:val="00D04F24"/>
    <w:rsid w:val="00D05761"/>
    <w:rsid w:val="00D058B9"/>
    <w:rsid w:val="00D05938"/>
    <w:rsid w:val="00D05975"/>
    <w:rsid w:val="00D05B91"/>
    <w:rsid w:val="00D05E46"/>
    <w:rsid w:val="00D06025"/>
    <w:rsid w:val="00D06044"/>
    <w:rsid w:val="00D06598"/>
    <w:rsid w:val="00D06B65"/>
    <w:rsid w:val="00D06F46"/>
    <w:rsid w:val="00D06FD9"/>
    <w:rsid w:val="00D0709B"/>
    <w:rsid w:val="00D074DB"/>
    <w:rsid w:val="00D0777B"/>
    <w:rsid w:val="00D077A1"/>
    <w:rsid w:val="00D07CB7"/>
    <w:rsid w:val="00D10146"/>
    <w:rsid w:val="00D10459"/>
    <w:rsid w:val="00D104BE"/>
    <w:rsid w:val="00D10788"/>
    <w:rsid w:val="00D10942"/>
    <w:rsid w:val="00D10A13"/>
    <w:rsid w:val="00D10E00"/>
    <w:rsid w:val="00D10E60"/>
    <w:rsid w:val="00D11168"/>
    <w:rsid w:val="00D113DE"/>
    <w:rsid w:val="00D11411"/>
    <w:rsid w:val="00D114AA"/>
    <w:rsid w:val="00D1164F"/>
    <w:rsid w:val="00D11786"/>
    <w:rsid w:val="00D11949"/>
    <w:rsid w:val="00D119ED"/>
    <w:rsid w:val="00D11BB8"/>
    <w:rsid w:val="00D12276"/>
    <w:rsid w:val="00D125E9"/>
    <w:rsid w:val="00D128EB"/>
    <w:rsid w:val="00D12961"/>
    <w:rsid w:val="00D12B63"/>
    <w:rsid w:val="00D12BC0"/>
    <w:rsid w:val="00D12D51"/>
    <w:rsid w:val="00D1304F"/>
    <w:rsid w:val="00D13359"/>
    <w:rsid w:val="00D135B1"/>
    <w:rsid w:val="00D13838"/>
    <w:rsid w:val="00D13A44"/>
    <w:rsid w:val="00D13B45"/>
    <w:rsid w:val="00D13DFA"/>
    <w:rsid w:val="00D13F5E"/>
    <w:rsid w:val="00D146B6"/>
    <w:rsid w:val="00D14787"/>
    <w:rsid w:val="00D14B88"/>
    <w:rsid w:val="00D14BB0"/>
    <w:rsid w:val="00D14F57"/>
    <w:rsid w:val="00D15075"/>
    <w:rsid w:val="00D15205"/>
    <w:rsid w:val="00D15596"/>
    <w:rsid w:val="00D156FB"/>
    <w:rsid w:val="00D15C96"/>
    <w:rsid w:val="00D15CB0"/>
    <w:rsid w:val="00D15DDF"/>
    <w:rsid w:val="00D160CB"/>
    <w:rsid w:val="00D1623F"/>
    <w:rsid w:val="00D1686D"/>
    <w:rsid w:val="00D16DA5"/>
    <w:rsid w:val="00D16DCB"/>
    <w:rsid w:val="00D170E4"/>
    <w:rsid w:val="00D1712A"/>
    <w:rsid w:val="00D172B6"/>
    <w:rsid w:val="00D1730A"/>
    <w:rsid w:val="00D177BC"/>
    <w:rsid w:val="00D1797C"/>
    <w:rsid w:val="00D17A59"/>
    <w:rsid w:val="00D20422"/>
    <w:rsid w:val="00D209BD"/>
    <w:rsid w:val="00D20B43"/>
    <w:rsid w:val="00D20BB1"/>
    <w:rsid w:val="00D20EB3"/>
    <w:rsid w:val="00D21019"/>
    <w:rsid w:val="00D21257"/>
    <w:rsid w:val="00D21290"/>
    <w:rsid w:val="00D2134F"/>
    <w:rsid w:val="00D217F2"/>
    <w:rsid w:val="00D21830"/>
    <w:rsid w:val="00D218DA"/>
    <w:rsid w:val="00D219DB"/>
    <w:rsid w:val="00D21D12"/>
    <w:rsid w:val="00D21DA1"/>
    <w:rsid w:val="00D22956"/>
    <w:rsid w:val="00D22AA7"/>
    <w:rsid w:val="00D22F29"/>
    <w:rsid w:val="00D230A3"/>
    <w:rsid w:val="00D230A4"/>
    <w:rsid w:val="00D232A3"/>
    <w:rsid w:val="00D23397"/>
    <w:rsid w:val="00D2386B"/>
    <w:rsid w:val="00D23893"/>
    <w:rsid w:val="00D23AF5"/>
    <w:rsid w:val="00D23D37"/>
    <w:rsid w:val="00D23DFD"/>
    <w:rsid w:val="00D2466C"/>
    <w:rsid w:val="00D24790"/>
    <w:rsid w:val="00D24ED4"/>
    <w:rsid w:val="00D254E5"/>
    <w:rsid w:val="00D2550F"/>
    <w:rsid w:val="00D2552E"/>
    <w:rsid w:val="00D25FC4"/>
    <w:rsid w:val="00D2609C"/>
    <w:rsid w:val="00D2655B"/>
    <w:rsid w:val="00D26A06"/>
    <w:rsid w:val="00D26A72"/>
    <w:rsid w:val="00D26CE9"/>
    <w:rsid w:val="00D270A9"/>
    <w:rsid w:val="00D273A3"/>
    <w:rsid w:val="00D2749B"/>
    <w:rsid w:val="00D27938"/>
    <w:rsid w:val="00D27CA6"/>
    <w:rsid w:val="00D27F61"/>
    <w:rsid w:val="00D301DA"/>
    <w:rsid w:val="00D304BF"/>
    <w:rsid w:val="00D3052E"/>
    <w:rsid w:val="00D30555"/>
    <w:rsid w:val="00D3057C"/>
    <w:rsid w:val="00D309D6"/>
    <w:rsid w:val="00D30F8A"/>
    <w:rsid w:val="00D311CB"/>
    <w:rsid w:val="00D312C4"/>
    <w:rsid w:val="00D313F4"/>
    <w:rsid w:val="00D31434"/>
    <w:rsid w:val="00D317BC"/>
    <w:rsid w:val="00D31A01"/>
    <w:rsid w:val="00D31A8C"/>
    <w:rsid w:val="00D31BA8"/>
    <w:rsid w:val="00D31D12"/>
    <w:rsid w:val="00D31EEC"/>
    <w:rsid w:val="00D32192"/>
    <w:rsid w:val="00D32562"/>
    <w:rsid w:val="00D327D3"/>
    <w:rsid w:val="00D32912"/>
    <w:rsid w:val="00D32EC1"/>
    <w:rsid w:val="00D33008"/>
    <w:rsid w:val="00D33621"/>
    <w:rsid w:val="00D339BB"/>
    <w:rsid w:val="00D33AFC"/>
    <w:rsid w:val="00D33B4E"/>
    <w:rsid w:val="00D33C72"/>
    <w:rsid w:val="00D344B8"/>
    <w:rsid w:val="00D3479A"/>
    <w:rsid w:val="00D350E5"/>
    <w:rsid w:val="00D351E9"/>
    <w:rsid w:val="00D35331"/>
    <w:rsid w:val="00D35516"/>
    <w:rsid w:val="00D3553F"/>
    <w:rsid w:val="00D361B2"/>
    <w:rsid w:val="00D36356"/>
    <w:rsid w:val="00D36389"/>
    <w:rsid w:val="00D36565"/>
    <w:rsid w:val="00D36858"/>
    <w:rsid w:val="00D374B5"/>
    <w:rsid w:val="00D37811"/>
    <w:rsid w:val="00D37A26"/>
    <w:rsid w:val="00D37B65"/>
    <w:rsid w:val="00D40068"/>
    <w:rsid w:val="00D4026B"/>
    <w:rsid w:val="00D4026C"/>
    <w:rsid w:val="00D40FA5"/>
    <w:rsid w:val="00D40FF6"/>
    <w:rsid w:val="00D412DB"/>
    <w:rsid w:val="00D41792"/>
    <w:rsid w:val="00D417AF"/>
    <w:rsid w:val="00D417C7"/>
    <w:rsid w:val="00D41EF2"/>
    <w:rsid w:val="00D4218E"/>
    <w:rsid w:val="00D42B4D"/>
    <w:rsid w:val="00D4314F"/>
    <w:rsid w:val="00D431F4"/>
    <w:rsid w:val="00D432E6"/>
    <w:rsid w:val="00D43630"/>
    <w:rsid w:val="00D43990"/>
    <w:rsid w:val="00D43B03"/>
    <w:rsid w:val="00D43B2D"/>
    <w:rsid w:val="00D43E4B"/>
    <w:rsid w:val="00D44149"/>
    <w:rsid w:val="00D44CD2"/>
    <w:rsid w:val="00D44D45"/>
    <w:rsid w:val="00D44F76"/>
    <w:rsid w:val="00D44F92"/>
    <w:rsid w:val="00D45324"/>
    <w:rsid w:val="00D45992"/>
    <w:rsid w:val="00D459A2"/>
    <w:rsid w:val="00D45DD2"/>
    <w:rsid w:val="00D46375"/>
    <w:rsid w:val="00D463BD"/>
    <w:rsid w:val="00D46527"/>
    <w:rsid w:val="00D4689D"/>
    <w:rsid w:val="00D470C3"/>
    <w:rsid w:val="00D470D3"/>
    <w:rsid w:val="00D47394"/>
    <w:rsid w:val="00D47554"/>
    <w:rsid w:val="00D47586"/>
    <w:rsid w:val="00D476DA"/>
    <w:rsid w:val="00D47A6B"/>
    <w:rsid w:val="00D47AA6"/>
    <w:rsid w:val="00D47C01"/>
    <w:rsid w:val="00D50093"/>
    <w:rsid w:val="00D502C3"/>
    <w:rsid w:val="00D508E9"/>
    <w:rsid w:val="00D50935"/>
    <w:rsid w:val="00D50A0B"/>
    <w:rsid w:val="00D50E88"/>
    <w:rsid w:val="00D50EFA"/>
    <w:rsid w:val="00D511C4"/>
    <w:rsid w:val="00D51372"/>
    <w:rsid w:val="00D51409"/>
    <w:rsid w:val="00D51636"/>
    <w:rsid w:val="00D51691"/>
    <w:rsid w:val="00D51956"/>
    <w:rsid w:val="00D51B02"/>
    <w:rsid w:val="00D51BD8"/>
    <w:rsid w:val="00D51D35"/>
    <w:rsid w:val="00D51F3E"/>
    <w:rsid w:val="00D521AC"/>
    <w:rsid w:val="00D522CE"/>
    <w:rsid w:val="00D52C7A"/>
    <w:rsid w:val="00D53C62"/>
    <w:rsid w:val="00D53EFE"/>
    <w:rsid w:val="00D54221"/>
    <w:rsid w:val="00D54454"/>
    <w:rsid w:val="00D5460A"/>
    <w:rsid w:val="00D54700"/>
    <w:rsid w:val="00D54709"/>
    <w:rsid w:val="00D5475F"/>
    <w:rsid w:val="00D54765"/>
    <w:rsid w:val="00D555E0"/>
    <w:rsid w:val="00D55770"/>
    <w:rsid w:val="00D5598C"/>
    <w:rsid w:val="00D55DE3"/>
    <w:rsid w:val="00D55F40"/>
    <w:rsid w:val="00D56080"/>
    <w:rsid w:val="00D5617B"/>
    <w:rsid w:val="00D56658"/>
    <w:rsid w:val="00D57B78"/>
    <w:rsid w:val="00D57B7C"/>
    <w:rsid w:val="00D57C0A"/>
    <w:rsid w:val="00D57CB7"/>
    <w:rsid w:val="00D6002A"/>
    <w:rsid w:val="00D60593"/>
    <w:rsid w:val="00D605FE"/>
    <w:rsid w:val="00D606C2"/>
    <w:rsid w:val="00D60BEE"/>
    <w:rsid w:val="00D60C38"/>
    <w:rsid w:val="00D60F36"/>
    <w:rsid w:val="00D614F9"/>
    <w:rsid w:val="00D618B6"/>
    <w:rsid w:val="00D619A0"/>
    <w:rsid w:val="00D61B09"/>
    <w:rsid w:val="00D61ECE"/>
    <w:rsid w:val="00D62004"/>
    <w:rsid w:val="00D62228"/>
    <w:rsid w:val="00D62308"/>
    <w:rsid w:val="00D623C3"/>
    <w:rsid w:val="00D62B4B"/>
    <w:rsid w:val="00D6302D"/>
    <w:rsid w:val="00D6317F"/>
    <w:rsid w:val="00D631B5"/>
    <w:rsid w:val="00D63229"/>
    <w:rsid w:val="00D6325F"/>
    <w:rsid w:val="00D63B79"/>
    <w:rsid w:val="00D641CF"/>
    <w:rsid w:val="00D645C3"/>
    <w:rsid w:val="00D6474E"/>
    <w:rsid w:val="00D64874"/>
    <w:rsid w:val="00D648BA"/>
    <w:rsid w:val="00D64D7F"/>
    <w:rsid w:val="00D64EE9"/>
    <w:rsid w:val="00D64F9B"/>
    <w:rsid w:val="00D65247"/>
    <w:rsid w:val="00D65886"/>
    <w:rsid w:val="00D65ECD"/>
    <w:rsid w:val="00D663B9"/>
    <w:rsid w:val="00D6647F"/>
    <w:rsid w:val="00D66A4A"/>
    <w:rsid w:val="00D66E83"/>
    <w:rsid w:val="00D66EA8"/>
    <w:rsid w:val="00D674C9"/>
    <w:rsid w:val="00D6757E"/>
    <w:rsid w:val="00D678F4"/>
    <w:rsid w:val="00D67D09"/>
    <w:rsid w:val="00D67F9E"/>
    <w:rsid w:val="00D67FAF"/>
    <w:rsid w:val="00D70186"/>
    <w:rsid w:val="00D702B4"/>
    <w:rsid w:val="00D70674"/>
    <w:rsid w:val="00D70A15"/>
    <w:rsid w:val="00D70B22"/>
    <w:rsid w:val="00D71003"/>
    <w:rsid w:val="00D710A7"/>
    <w:rsid w:val="00D71391"/>
    <w:rsid w:val="00D7187A"/>
    <w:rsid w:val="00D71BEB"/>
    <w:rsid w:val="00D71E16"/>
    <w:rsid w:val="00D71FBC"/>
    <w:rsid w:val="00D734FA"/>
    <w:rsid w:val="00D73B44"/>
    <w:rsid w:val="00D73EB3"/>
    <w:rsid w:val="00D7428A"/>
    <w:rsid w:val="00D74298"/>
    <w:rsid w:val="00D747E9"/>
    <w:rsid w:val="00D74ACB"/>
    <w:rsid w:val="00D74B64"/>
    <w:rsid w:val="00D74B90"/>
    <w:rsid w:val="00D74DF3"/>
    <w:rsid w:val="00D7528A"/>
    <w:rsid w:val="00D75345"/>
    <w:rsid w:val="00D757F9"/>
    <w:rsid w:val="00D75EFE"/>
    <w:rsid w:val="00D7610F"/>
    <w:rsid w:val="00D7630C"/>
    <w:rsid w:val="00D763E4"/>
    <w:rsid w:val="00D76529"/>
    <w:rsid w:val="00D765A1"/>
    <w:rsid w:val="00D769DE"/>
    <w:rsid w:val="00D76ED4"/>
    <w:rsid w:val="00D773A9"/>
    <w:rsid w:val="00D7752B"/>
    <w:rsid w:val="00D77936"/>
    <w:rsid w:val="00D77D7C"/>
    <w:rsid w:val="00D80370"/>
    <w:rsid w:val="00D806F0"/>
    <w:rsid w:val="00D808BC"/>
    <w:rsid w:val="00D80A8E"/>
    <w:rsid w:val="00D80C88"/>
    <w:rsid w:val="00D80CC3"/>
    <w:rsid w:val="00D80F23"/>
    <w:rsid w:val="00D80F3B"/>
    <w:rsid w:val="00D810D8"/>
    <w:rsid w:val="00D8162A"/>
    <w:rsid w:val="00D81AB9"/>
    <w:rsid w:val="00D81D06"/>
    <w:rsid w:val="00D81D6E"/>
    <w:rsid w:val="00D81F0D"/>
    <w:rsid w:val="00D8233C"/>
    <w:rsid w:val="00D825ED"/>
    <w:rsid w:val="00D82771"/>
    <w:rsid w:val="00D829E3"/>
    <w:rsid w:val="00D82C0C"/>
    <w:rsid w:val="00D82C86"/>
    <w:rsid w:val="00D82CB4"/>
    <w:rsid w:val="00D82CD1"/>
    <w:rsid w:val="00D82DE2"/>
    <w:rsid w:val="00D82EE3"/>
    <w:rsid w:val="00D82F5F"/>
    <w:rsid w:val="00D82F95"/>
    <w:rsid w:val="00D832CF"/>
    <w:rsid w:val="00D83359"/>
    <w:rsid w:val="00D8345C"/>
    <w:rsid w:val="00D83520"/>
    <w:rsid w:val="00D83588"/>
    <w:rsid w:val="00D83770"/>
    <w:rsid w:val="00D83939"/>
    <w:rsid w:val="00D83B15"/>
    <w:rsid w:val="00D840DE"/>
    <w:rsid w:val="00D84150"/>
    <w:rsid w:val="00D84325"/>
    <w:rsid w:val="00D844DA"/>
    <w:rsid w:val="00D84A3A"/>
    <w:rsid w:val="00D84A54"/>
    <w:rsid w:val="00D84B6F"/>
    <w:rsid w:val="00D84E1B"/>
    <w:rsid w:val="00D84E62"/>
    <w:rsid w:val="00D853B7"/>
    <w:rsid w:val="00D8555E"/>
    <w:rsid w:val="00D8574A"/>
    <w:rsid w:val="00D8574D"/>
    <w:rsid w:val="00D85B29"/>
    <w:rsid w:val="00D85F27"/>
    <w:rsid w:val="00D86057"/>
    <w:rsid w:val="00D8607B"/>
    <w:rsid w:val="00D86F91"/>
    <w:rsid w:val="00D86FA5"/>
    <w:rsid w:val="00D87393"/>
    <w:rsid w:val="00D87915"/>
    <w:rsid w:val="00D87A8B"/>
    <w:rsid w:val="00D87CE1"/>
    <w:rsid w:val="00D87FBD"/>
    <w:rsid w:val="00D90036"/>
    <w:rsid w:val="00D90126"/>
    <w:rsid w:val="00D9084C"/>
    <w:rsid w:val="00D90A09"/>
    <w:rsid w:val="00D90A5A"/>
    <w:rsid w:val="00D90C31"/>
    <w:rsid w:val="00D90C49"/>
    <w:rsid w:val="00D9154A"/>
    <w:rsid w:val="00D9155C"/>
    <w:rsid w:val="00D915C3"/>
    <w:rsid w:val="00D91D1B"/>
    <w:rsid w:val="00D92010"/>
    <w:rsid w:val="00D921DE"/>
    <w:rsid w:val="00D921EA"/>
    <w:rsid w:val="00D92617"/>
    <w:rsid w:val="00D92D4B"/>
    <w:rsid w:val="00D92F62"/>
    <w:rsid w:val="00D93831"/>
    <w:rsid w:val="00D93F4D"/>
    <w:rsid w:val="00D93F73"/>
    <w:rsid w:val="00D941C7"/>
    <w:rsid w:val="00D942C2"/>
    <w:rsid w:val="00D9466D"/>
    <w:rsid w:val="00D94798"/>
    <w:rsid w:val="00D948A6"/>
    <w:rsid w:val="00D94ADA"/>
    <w:rsid w:val="00D94C67"/>
    <w:rsid w:val="00D94DCD"/>
    <w:rsid w:val="00D94DD0"/>
    <w:rsid w:val="00D94F02"/>
    <w:rsid w:val="00D952BE"/>
    <w:rsid w:val="00D963C8"/>
    <w:rsid w:val="00D965EC"/>
    <w:rsid w:val="00D96669"/>
    <w:rsid w:val="00D9667F"/>
    <w:rsid w:val="00D96871"/>
    <w:rsid w:val="00D9689D"/>
    <w:rsid w:val="00D968A0"/>
    <w:rsid w:val="00D96969"/>
    <w:rsid w:val="00D96B3F"/>
    <w:rsid w:val="00D96E66"/>
    <w:rsid w:val="00D970AA"/>
    <w:rsid w:val="00D9710B"/>
    <w:rsid w:val="00D97141"/>
    <w:rsid w:val="00D973F1"/>
    <w:rsid w:val="00D975FF"/>
    <w:rsid w:val="00D97838"/>
    <w:rsid w:val="00DA014C"/>
    <w:rsid w:val="00DA0397"/>
    <w:rsid w:val="00DA0530"/>
    <w:rsid w:val="00DA074E"/>
    <w:rsid w:val="00DA13BE"/>
    <w:rsid w:val="00DA1501"/>
    <w:rsid w:val="00DA1506"/>
    <w:rsid w:val="00DA1676"/>
    <w:rsid w:val="00DA1ACF"/>
    <w:rsid w:val="00DA1D67"/>
    <w:rsid w:val="00DA1E15"/>
    <w:rsid w:val="00DA1E18"/>
    <w:rsid w:val="00DA1EB4"/>
    <w:rsid w:val="00DA22B4"/>
    <w:rsid w:val="00DA2391"/>
    <w:rsid w:val="00DA273D"/>
    <w:rsid w:val="00DA279F"/>
    <w:rsid w:val="00DA29D2"/>
    <w:rsid w:val="00DA2D4A"/>
    <w:rsid w:val="00DA335E"/>
    <w:rsid w:val="00DA3599"/>
    <w:rsid w:val="00DA37A4"/>
    <w:rsid w:val="00DA38DB"/>
    <w:rsid w:val="00DA3B4E"/>
    <w:rsid w:val="00DA3C54"/>
    <w:rsid w:val="00DA3D61"/>
    <w:rsid w:val="00DA40D3"/>
    <w:rsid w:val="00DA414F"/>
    <w:rsid w:val="00DA4176"/>
    <w:rsid w:val="00DA4566"/>
    <w:rsid w:val="00DA45CD"/>
    <w:rsid w:val="00DA4BC1"/>
    <w:rsid w:val="00DA4BE8"/>
    <w:rsid w:val="00DA4EB6"/>
    <w:rsid w:val="00DA517A"/>
    <w:rsid w:val="00DA5288"/>
    <w:rsid w:val="00DA52AF"/>
    <w:rsid w:val="00DA54B7"/>
    <w:rsid w:val="00DA5713"/>
    <w:rsid w:val="00DA57BF"/>
    <w:rsid w:val="00DA5A02"/>
    <w:rsid w:val="00DA5F4F"/>
    <w:rsid w:val="00DA6250"/>
    <w:rsid w:val="00DA66F1"/>
    <w:rsid w:val="00DA66F8"/>
    <w:rsid w:val="00DA68C8"/>
    <w:rsid w:val="00DA6D37"/>
    <w:rsid w:val="00DA6E21"/>
    <w:rsid w:val="00DA6F43"/>
    <w:rsid w:val="00DA73A3"/>
    <w:rsid w:val="00DA7444"/>
    <w:rsid w:val="00DA77F8"/>
    <w:rsid w:val="00DA79BA"/>
    <w:rsid w:val="00DA7A86"/>
    <w:rsid w:val="00DA7C0B"/>
    <w:rsid w:val="00DA7F24"/>
    <w:rsid w:val="00DA7F6C"/>
    <w:rsid w:val="00DB044A"/>
    <w:rsid w:val="00DB0663"/>
    <w:rsid w:val="00DB0676"/>
    <w:rsid w:val="00DB06A2"/>
    <w:rsid w:val="00DB0857"/>
    <w:rsid w:val="00DB09C4"/>
    <w:rsid w:val="00DB0A46"/>
    <w:rsid w:val="00DB0A8E"/>
    <w:rsid w:val="00DB0DDC"/>
    <w:rsid w:val="00DB1201"/>
    <w:rsid w:val="00DB139A"/>
    <w:rsid w:val="00DB1526"/>
    <w:rsid w:val="00DB19CB"/>
    <w:rsid w:val="00DB1DE9"/>
    <w:rsid w:val="00DB207F"/>
    <w:rsid w:val="00DB2165"/>
    <w:rsid w:val="00DB279F"/>
    <w:rsid w:val="00DB2B98"/>
    <w:rsid w:val="00DB366C"/>
    <w:rsid w:val="00DB39BD"/>
    <w:rsid w:val="00DB39D2"/>
    <w:rsid w:val="00DB39FF"/>
    <w:rsid w:val="00DB442D"/>
    <w:rsid w:val="00DB4711"/>
    <w:rsid w:val="00DB47CE"/>
    <w:rsid w:val="00DB4944"/>
    <w:rsid w:val="00DB49F2"/>
    <w:rsid w:val="00DB4A1B"/>
    <w:rsid w:val="00DB5661"/>
    <w:rsid w:val="00DB57B4"/>
    <w:rsid w:val="00DB5870"/>
    <w:rsid w:val="00DB5F76"/>
    <w:rsid w:val="00DB60D5"/>
    <w:rsid w:val="00DB64E3"/>
    <w:rsid w:val="00DB6D88"/>
    <w:rsid w:val="00DB6F04"/>
    <w:rsid w:val="00DB7582"/>
    <w:rsid w:val="00DB760A"/>
    <w:rsid w:val="00DB7BB3"/>
    <w:rsid w:val="00DB7D23"/>
    <w:rsid w:val="00DB7E1F"/>
    <w:rsid w:val="00DC0064"/>
    <w:rsid w:val="00DC014B"/>
    <w:rsid w:val="00DC0178"/>
    <w:rsid w:val="00DC0184"/>
    <w:rsid w:val="00DC04CD"/>
    <w:rsid w:val="00DC0651"/>
    <w:rsid w:val="00DC0722"/>
    <w:rsid w:val="00DC0885"/>
    <w:rsid w:val="00DC0B87"/>
    <w:rsid w:val="00DC0C62"/>
    <w:rsid w:val="00DC0FF9"/>
    <w:rsid w:val="00DC11E4"/>
    <w:rsid w:val="00DC1419"/>
    <w:rsid w:val="00DC14B0"/>
    <w:rsid w:val="00DC14C3"/>
    <w:rsid w:val="00DC193B"/>
    <w:rsid w:val="00DC1C08"/>
    <w:rsid w:val="00DC1C3C"/>
    <w:rsid w:val="00DC1DD4"/>
    <w:rsid w:val="00DC1F22"/>
    <w:rsid w:val="00DC20EF"/>
    <w:rsid w:val="00DC2245"/>
    <w:rsid w:val="00DC2340"/>
    <w:rsid w:val="00DC2365"/>
    <w:rsid w:val="00DC245B"/>
    <w:rsid w:val="00DC27E6"/>
    <w:rsid w:val="00DC2886"/>
    <w:rsid w:val="00DC2AE9"/>
    <w:rsid w:val="00DC2C1C"/>
    <w:rsid w:val="00DC31BA"/>
    <w:rsid w:val="00DC34AE"/>
    <w:rsid w:val="00DC34ED"/>
    <w:rsid w:val="00DC39A7"/>
    <w:rsid w:val="00DC3C4C"/>
    <w:rsid w:val="00DC3E5B"/>
    <w:rsid w:val="00DC3FBB"/>
    <w:rsid w:val="00DC4698"/>
    <w:rsid w:val="00DC4A9E"/>
    <w:rsid w:val="00DC4DFE"/>
    <w:rsid w:val="00DC4F3B"/>
    <w:rsid w:val="00DC50B2"/>
    <w:rsid w:val="00DC51E7"/>
    <w:rsid w:val="00DC5562"/>
    <w:rsid w:val="00DC62A5"/>
    <w:rsid w:val="00DC6405"/>
    <w:rsid w:val="00DC66DB"/>
    <w:rsid w:val="00DC6737"/>
    <w:rsid w:val="00DC6996"/>
    <w:rsid w:val="00DC6DC2"/>
    <w:rsid w:val="00DC7201"/>
    <w:rsid w:val="00DC72E5"/>
    <w:rsid w:val="00DC762C"/>
    <w:rsid w:val="00DC78E1"/>
    <w:rsid w:val="00DC79D8"/>
    <w:rsid w:val="00DC7B5C"/>
    <w:rsid w:val="00DC7D08"/>
    <w:rsid w:val="00DC7DC4"/>
    <w:rsid w:val="00DC7EA7"/>
    <w:rsid w:val="00DD027D"/>
    <w:rsid w:val="00DD0469"/>
    <w:rsid w:val="00DD057F"/>
    <w:rsid w:val="00DD08A1"/>
    <w:rsid w:val="00DD0968"/>
    <w:rsid w:val="00DD0E2E"/>
    <w:rsid w:val="00DD0E6A"/>
    <w:rsid w:val="00DD1489"/>
    <w:rsid w:val="00DD19BF"/>
    <w:rsid w:val="00DD1E3C"/>
    <w:rsid w:val="00DD1F0B"/>
    <w:rsid w:val="00DD1FDF"/>
    <w:rsid w:val="00DD1FEE"/>
    <w:rsid w:val="00DD253C"/>
    <w:rsid w:val="00DD2BCC"/>
    <w:rsid w:val="00DD2D7A"/>
    <w:rsid w:val="00DD2F27"/>
    <w:rsid w:val="00DD3315"/>
    <w:rsid w:val="00DD3483"/>
    <w:rsid w:val="00DD4192"/>
    <w:rsid w:val="00DD4857"/>
    <w:rsid w:val="00DD4893"/>
    <w:rsid w:val="00DD48C5"/>
    <w:rsid w:val="00DD4940"/>
    <w:rsid w:val="00DD4A29"/>
    <w:rsid w:val="00DD4C0F"/>
    <w:rsid w:val="00DD4CAF"/>
    <w:rsid w:val="00DD4E6F"/>
    <w:rsid w:val="00DD4F9B"/>
    <w:rsid w:val="00DD52D2"/>
    <w:rsid w:val="00DD5360"/>
    <w:rsid w:val="00DD5371"/>
    <w:rsid w:val="00DD550B"/>
    <w:rsid w:val="00DD589F"/>
    <w:rsid w:val="00DD59B0"/>
    <w:rsid w:val="00DD5C14"/>
    <w:rsid w:val="00DD5E0F"/>
    <w:rsid w:val="00DD5EE5"/>
    <w:rsid w:val="00DD5F0F"/>
    <w:rsid w:val="00DD602C"/>
    <w:rsid w:val="00DD6328"/>
    <w:rsid w:val="00DD6449"/>
    <w:rsid w:val="00DD653F"/>
    <w:rsid w:val="00DD65F1"/>
    <w:rsid w:val="00DD6672"/>
    <w:rsid w:val="00DD6752"/>
    <w:rsid w:val="00DD682D"/>
    <w:rsid w:val="00DD6EF9"/>
    <w:rsid w:val="00DD6F8A"/>
    <w:rsid w:val="00DD7373"/>
    <w:rsid w:val="00DD76FE"/>
    <w:rsid w:val="00DE0169"/>
    <w:rsid w:val="00DE0450"/>
    <w:rsid w:val="00DE049D"/>
    <w:rsid w:val="00DE15FD"/>
    <w:rsid w:val="00DE1653"/>
    <w:rsid w:val="00DE1945"/>
    <w:rsid w:val="00DE1D7D"/>
    <w:rsid w:val="00DE1FB8"/>
    <w:rsid w:val="00DE2ADD"/>
    <w:rsid w:val="00DE2B17"/>
    <w:rsid w:val="00DE2B59"/>
    <w:rsid w:val="00DE2DE8"/>
    <w:rsid w:val="00DE2E47"/>
    <w:rsid w:val="00DE3050"/>
    <w:rsid w:val="00DE315E"/>
    <w:rsid w:val="00DE32D0"/>
    <w:rsid w:val="00DE3357"/>
    <w:rsid w:val="00DE3714"/>
    <w:rsid w:val="00DE387B"/>
    <w:rsid w:val="00DE3D01"/>
    <w:rsid w:val="00DE3F58"/>
    <w:rsid w:val="00DE3FD8"/>
    <w:rsid w:val="00DE48E3"/>
    <w:rsid w:val="00DE49C0"/>
    <w:rsid w:val="00DE4C84"/>
    <w:rsid w:val="00DE4DEC"/>
    <w:rsid w:val="00DE55BE"/>
    <w:rsid w:val="00DE58E4"/>
    <w:rsid w:val="00DE5ADA"/>
    <w:rsid w:val="00DE5B10"/>
    <w:rsid w:val="00DE5BD9"/>
    <w:rsid w:val="00DE5BE2"/>
    <w:rsid w:val="00DE5D9B"/>
    <w:rsid w:val="00DE5E5F"/>
    <w:rsid w:val="00DE60B5"/>
    <w:rsid w:val="00DE619A"/>
    <w:rsid w:val="00DE61A9"/>
    <w:rsid w:val="00DE6423"/>
    <w:rsid w:val="00DE665C"/>
    <w:rsid w:val="00DE6B1F"/>
    <w:rsid w:val="00DE6D0C"/>
    <w:rsid w:val="00DE6D8D"/>
    <w:rsid w:val="00DE6F7B"/>
    <w:rsid w:val="00DE7078"/>
    <w:rsid w:val="00DE715E"/>
    <w:rsid w:val="00DE72DB"/>
    <w:rsid w:val="00DE7605"/>
    <w:rsid w:val="00DE7765"/>
    <w:rsid w:val="00DE7B95"/>
    <w:rsid w:val="00DE7F38"/>
    <w:rsid w:val="00DE7F7E"/>
    <w:rsid w:val="00DF0325"/>
    <w:rsid w:val="00DF04BE"/>
    <w:rsid w:val="00DF0890"/>
    <w:rsid w:val="00DF0B02"/>
    <w:rsid w:val="00DF1158"/>
    <w:rsid w:val="00DF19D4"/>
    <w:rsid w:val="00DF1A88"/>
    <w:rsid w:val="00DF1CD6"/>
    <w:rsid w:val="00DF2252"/>
    <w:rsid w:val="00DF234E"/>
    <w:rsid w:val="00DF2402"/>
    <w:rsid w:val="00DF2693"/>
    <w:rsid w:val="00DF2AF8"/>
    <w:rsid w:val="00DF2B2E"/>
    <w:rsid w:val="00DF2EBD"/>
    <w:rsid w:val="00DF3199"/>
    <w:rsid w:val="00DF321D"/>
    <w:rsid w:val="00DF3935"/>
    <w:rsid w:val="00DF3992"/>
    <w:rsid w:val="00DF39F7"/>
    <w:rsid w:val="00DF3BEA"/>
    <w:rsid w:val="00DF3CE3"/>
    <w:rsid w:val="00DF434F"/>
    <w:rsid w:val="00DF48B1"/>
    <w:rsid w:val="00DF4E09"/>
    <w:rsid w:val="00DF4EB5"/>
    <w:rsid w:val="00DF4F64"/>
    <w:rsid w:val="00DF4FB7"/>
    <w:rsid w:val="00DF51A6"/>
    <w:rsid w:val="00DF52C9"/>
    <w:rsid w:val="00DF5391"/>
    <w:rsid w:val="00DF562A"/>
    <w:rsid w:val="00DF5733"/>
    <w:rsid w:val="00DF5C1F"/>
    <w:rsid w:val="00DF651C"/>
    <w:rsid w:val="00DF6549"/>
    <w:rsid w:val="00DF699A"/>
    <w:rsid w:val="00DF6B8D"/>
    <w:rsid w:val="00DF6CC8"/>
    <w:rsid w:val="00DF6E28"/>
    <w:rsid w:val="00DF71D4"/>
    <w:rsid w:val="00DF72B2"/>
    <w:rsid w:val="00DF7352"/>
    <w:rsid w:val="00DF7488"/>
    <w:rsid w:val="00DF7552"/>
    <w:rsid w:val="00DF7AD1"/>
    <w:rsid w:val="00DF7B33"/>
    <w:rsid w:val="00DF7E1C"/>
    <w:rsid w:val="00E002FE"/>
    <w:rsid w:val="00E00429"/>
    <w:rsid w:val="00E007A4"/>
    <w:rsid w:val="00E011B8"/>
    <w:rsid w:val="00E01269"/>
    <w:rsid w:val="00E012ED"/>
    <w:rsid w:val="00E01381"/>
    <w:rsid w:val="00E015D3"/>
    <w:rsid w:val="00E0175B"/>
    <w:rsid w:val="00E01794"/>
    <w:rsid w:val="00E01C90"/>
    <w:rsid w:val="00E02037"/>
    <w:rsid w:val="00E025DC"/>
    <w:rsid w:val="00E031FB"/>
    <w:rsid w:val="00E032C1"/>
    <w:rsid w:val="00E0332C"/>
    <w:rsid w:val="00E034EF"/>
    <w:rsid w:val="00E03B05"/>
    <w:rsid w:val="00E03B57"/>
    <w:rsid w:val="00E04162"/>
    <w:rsid w:val="00E04331"/>
    <w:rsid w:val="00E0497F"/>
    <w:rsid w:val="00E04AC0"/>
    <w:rsid w:val="00E04BCE"/>
    <w:rsid w:val="00E04EB0"/>
    <w:rsid w:val="00E056D0"/>
    <w:rsid w:val="00E05720"/>
    <w:rsid w:val="00E05951"/>
    <w:rsid w:val="00E05980"/>
    <w:rsid w:val="00E05C35"/>
    <w:rsid w:val="00E05E52"/>
    <w:rsid w:val="00E061A8"/>
    <w:rsid w:val="00E061A9"/>
    <w:rsid w:val="00E06215"/>
    <w:rsid w:val="00E0645B"/>
    <w:rsid w:val="00E066F0"/>
    <w:rsid w:val="00E06BDB"/>
    <w:rsid w:val="00E070CD"/>
    <w:rsid w:val="00E071EF"/>
    <w:rsid w:val="00E07249"/>
    <w:rsid w:val="00E079A9"/>
    <w:rsid w:val="00E07B08"/>
    <w:rsid w:val="00E07B50"/>
    <w:rsid w:val="00E07D26"/>
    <w:rsid w:val="00E1023D"/>
    <w:rsid w:val="00E103C8"/>
    <w:rsid w:val="00E10C0B"/>
    <w:rsid w:val="00E10D8D"/>
    <w:rsid w:val="00E10DC3"/>
    <w:rsid w:val="00E110D0"/>
    <w:rsid w:val="00E11383"/>
    <w:rsid w:val="00E113AA"/>
    <w:rsid w:val="00E117FE"/>
    <w:rsid w:val="00E11995"/>
    <w:rsid w:val="00E11C46"/>
    <w:rsid w:val="00E11F00"/>
    <w:rsid w:val="00E11F0C"/>
    <w:rsid w:val="00E1219B"/>
    <w:rsid w:val="00E121A8"/>
    <w:rsid w:val="00E122E5"/>
    <w:rsid w:val="00E12BC1"/>
    <w:rsid w:val="00E13133"/>
    <w:rsid w:val="00E13274"/>
    <w:rsid w:val="00E13396"/>
    <w:rsid w:val="00E133F2"/>
    <w:rsid w:val="00E1351E"/>
    <w:rsid w:val="00E1374F"/>
    <w:rsid w:val="00E139A1"/>
    <w:rsid w:val="00E139BA"/>
    <w:rsid w:val="00E14173"/>
    <w:rsid w:val="00E14259"/>
    <w:rsid w:val="00E1448C"/>
    <w:rsid w:val="00E144B6"/>
    <w:rsid w:val="00E144E2"/>
    <w:rsid w:val="00E144F0"/>
    <w:rsid w:val="00E145CC"/>
    <w:rsid w:val="00E1464D"/>
    <w:rsid w:val="00E1477B"/>
    <w:rsid w:val="00E14C62"/>
    <w:rsid w:val="00E14F03"/>
    <w:rsid w:val="00E150F6"/>
    <w:rsid w:val="00E150FA"/>
    <w:rsid w:val="00E15309"/>
    <w:rsid w:val="00E15354"/>
    <w:rsid w:val="00E1577F"/>
    <w:rsid w:val="00E15B9F"/>
    <w:rsid w:val="00E15BBE"/>
    <w:rsid w:val="00E15CD1"/>
    <w:rsid w:val="00E15D54"/>
    <w:rsid w:val="00E15FAE"/>
    <w:rsid w:val="00E1625B"/>
    <w:rsid w:val="00E16453"/>
    <w:rsid w:val="00E1686E"/>
    <w:rsid w:val="00E16E29"/>
    <w:rsid w:val="00E16F2A"/>
    <w:rsid w:val="00E17332"/>
    <w:rsid w:val="00E175E5"/>
    <w:rsid w:val="00E1769F"/>
    <w:rsid w:val="00E1771B"/>
    <w:rsid w:val="00E1793C"/>
    <w:rsid w:val="00E17D24"/>
    <w:rsid w:val="00E20126"/>
    <w:rsid w:val="00E203B2"/>
    <w:rsid w:val="00E206B9"/>
    <w:rsid w:val="00E208C8"/>
    <w:rsid w:val="00E20971"/>
    <w:rsid w:val="00E20A90"/>
    <w:rsid w:val="00E20C9C"/>
    <w:rsid w:val="00E210FA"/>
    <w:rsid w:val="00E21355"/>
    <w:rsid w:val="00E2157C"/>
    <w:rsid w:val="00E21597"/>
    <w:rsid w:val="00E2173D"/>
    <w:rsid w:val="00E217C1"/>
    <w:rsid w:val="00E21AD7"/>
    <w:rsid w:val="00E21EF2"/>
    <w:rsid w:val="00E220E0"/>
    <w:rsid w:val="00E223CF"/>
    <w:rsid w:val="00E22863"/>
    <w:rsid w:val="00E229F3"/>
    <w:rsid w:val="00E22ABD"/>
    <w:rsid w:val="00E22BCE"/>
    <w:rsid w:val="00E22DD0"/>
    <w:rsid w:val="00E22F21"/>
    <w:rsid w:val="00E23229"/>
    <w:rsid w:val="00E2377B"/>
    <w:rsid w:val="00E23794"/>
    <w:rsid w:val="00E23D71"/>
    <w:rsid w:val="00E23DA8"/>
    <w:rsid w:val="00E2413E"/>
    <w:rsid w:val="00E2438D"/>
    <w:rsid w:val="00E245BA"/>
    <w:rsid w:val="00E246EA"/>
    <w:rsid w:val="00E24743"/>
    <w:rsid w:val="00E24A4F"/>
    <w:rsid w:val="00E24BE9"/>
    <w:rsid w:val="00E25121"/>
    <w:rsid w:val="00E25203"/>
    <w:rsid w:val="00E2543B"/>
    <w:rsid w:val="00E2567F"/>
    <w:rsid w:val="00E256C1"/>
    <w:rsid w:val="00E259ED"/>
    <w:rsid w:val="00E25A85"/>
    <w:rsid w:val="00E25D89"/>
    <w:rsid w:val="00E25E5C"/>
    <w:rsid w:val="00E26362"/>
    <w:rsid w:val="00E26658"/>
    <w:rsid w:val="00E26E24"/>
    <w:rsid w:val="00E27738"/>
    <w:rsid w:val="00E27AF6"/>
    <w:rsid w:val="00E27CFE"/>
    <w:rsid w:val="00E27D58"/>
    <w:rsid w:val="00E27E12"/>
    <w:rsid w:val="00E27E3D"/>
    <w:rsid w:val="00E30508"/>
    <w:rsid w:val="00E30681"/>
    <w:rsid w:val="00E30D1F"/>
    <w:rsid w:val="00E30F4E"/>
    <w:rsid w:val="00E3100F"/>
    <w:rsid w:val="00E311E8"/>
    <w:rsid w:val="00E31319"/>
    <w:rsid w:val="00E314B1"/>
    <w:rsid w:val="00E314D2"/>
    <w:rsid w:val="00E31508"/>
    <w:rsid w:val="00E31563"/>
    <w:rsid w:val="00E31651"/>
    <w:rsid w:val="00E31BA5"/>
    <w:rsid w:val="00E31CC9"/>
    <w:rsid w:val="00E31D96"/>
    <w:rsid w:val="00E31F08"/>
    <w:rsid w:val="00E31F43"/>
    <w:rsid w:val="00E31FD4"/>
    <w:rsid w:val="00E32116"/>
    <w:rsid w:val="00E32621"/>
    <w:rsid w:val="00E328D7"/>
    <w:rsid w:val="00E32DE2"/>
    <w:rsid w:val="00E333E7"/>
    <w:rsid w:val="00E3356A"/>
    <w:rsid w:val="00E3376E"/>
    <w:rsid w:val="00E33AB8"/>
    <w:rsid w:val="00E343A2"/>
    <w:rsid w:val="00E34604"/>
    <w:rsid w:val="00E347C6"/>
    <w:rsid w:val="00E3485E"/>
    <w:rsid w:val="00E34CA0"/>
    <w:rsid w:val="00E353EF"/>
    <w:rsid w:val="00E35454"/>
    <w:rsid w:val="00E35643"/>
    <w:rsid w:val="00E35660"/>
    <w:rsid w:val="00E356AA"/>
    <w:rsid w:val="00E357F9"/>
    <w:rsid w:val="00E3588C"/>
    <w:rsid w:val="00E359D2"/>
    <w:rsid w:val="00E36186"/>
    <w:rsid w:val="00E363D3"/>
    <w:rsid w:val="00E366A7"/>
    <w:rsid w:val="00E36CAF"/>
    <w:rsid w:val="00E36FBA"/>
    <w:rsid w:val="00E3757E"/>
    <w:rsid w:val="00E376FF"/>
    <w:rsid w:val="00E37882"/>
    <w:rsid w:val="00E37904"/>
    <w:rsid w:val="00E37A18"/>
    <w:rsid w:val="00E37B1A"/>
    <w:rsid w:val="00E37C07"/>
    <w:rsid w:val="00E37C2C"/>
    <w:rsid w:val="00E37C4D"/>
    <w:rsid w:val="00E37EDA"/>
    <w:rsid w:val="00E4013C"/>
    <w:rsid w:val="00E40306"/>
    <w:rsid w:val="00E408EB"/>
    <w:rsid w:val="00E40D77"/>
    <w:rsid w:val="00E40E7E"/>
    <w:rsid w:val="00E412CE"/>
    <w:rsid w:val="00E416FF"/>
    <w:rsid w:val="00E4193B"/>
    <w:rsid w:val="00E42677"/>
    <w:rsid w:val="00E426B9"/>
    <w:rsid w:val="00E428E5"/>
    <w:rsid w:val="00E42920"/>
    <w:rsid w:val="00E42AAB"/>
    <w:rsid w:val="00E42B06"/>
    <w:rsid w:val="00E42EC3"/>
    <w:rsid w:val="00E42F56"/>
    <w:rsid w:val="00E42F96"/>
    <w:rsid w:val="00E4317E"/>
    <w:rsid w:val="00E43362"/>
    <w:rsid w:val="00E433E4"/>
    <w:rsid w:val="00E433F2"/>
    <w:rsid w:val="00E436C2"/>
    <w:rsid w:val="00E437B9"/>
    <w:rsid w:val="00E44167"/>
    <w:rsid w:val="00E443E9"/>
    <w:rsid w:val="00E44403"/>
    <w:rsid w:val="00E44524"/>
    <w:rsid w:val="00E44785"/>
    <w:rsid w:val="00E447BE"/>
    <w:rsid w:val="00E44A14"/>
    <w:rsid w:val="00E44F6F"/>
    <w:rsid w:val="00E4512D"/>
    <w:rsid w:val="00E457E1"/>
    <w:rsid w:val="00E45B83"/>
    <w:rsid w:val="00E45C68"/>
    <w:rsid w:val="00E45DCF"/>
    <w:rsid w:val="00E464CB"/>
    <w:rsid w:val="00E46557"/>
    <w:rsid w:val="00E4671E"/>
    <w:rsid w:val="00E46762"/>
    <w:rsid w:val="00E46AF0"/>
    <w:rsid w:val="00E46B9C"/>
    <w:rsid w:val="00E4753F"/>
    <w:rsid w:val="00E47544"/>
    <w:rsid w:val="00E4765E"/>
    <w:rsid w:val="00E4779E"/>
    <w:rsid w:val="00E47903"/>
    <w:rsid w:val="00E47B50"/>
    <w:rsid w:val="00E47E91"/>
    <w:rsid w:val="00E47F00"/>
    <w:rsid w:val="00E50425"/>
    <w:rsid w:val="00E505B6"/>
    <w:rsid w:val="00E506DD"/>
    <w:rsid w:val="00E508BE"/>
    <w:rsid w:val="00E5090C"/>
    <w:rsid w:val="00E50DE2"/>
    <w:rsid w:val="00E5109C"/>
    <w:rsid w:val="00E51558"/>
    <w:rsid w:val="00E51967"/>
    <w:rsid w:val="00E519CA"/>
    <w:rsid w:val="00E51D3D"/>
    <w:rsid w:val="00E52272"/>
    <w:rsid w:val="00E52298"/>
    <w:rsid w:val="00E5241F"/>
    <w:rsid w:val="00E526C6"/>
    <w:rsid w:val="00E5296F"/>
    <w:rsid w:val="00E529AF"/>
    <w:rsid w:val="00E52D6A"/>
    <w:rsid w:val="00E531DD"/>
    <w:rsid w:val="00E5341E"/>
    <w:rsid w:val="00E53684"/>
    <w:rsid w:val="00E53814"/>
    <w:rsid w:val="00E53892"/>
    <w:rsid w:val="00E5398E"/>
    <w:rsid w:val="00E53A26"/>
    <w:rsid w:val="00E54208"/>
    <w:rsid w:val="00E542B7"/>
    <w:rsid w:val="00E5465A"/>
    <w:rsid w:val="00E5475A"/>
    <w:rsid w:val="00E54C24"/>
    <w:rsid w:val="00E54CE4"/>
    <w:rsid w:val="00E5500E"/>
    <w:rsid w:val="00E55361"/>
    <w:rsid w:val="00E55505"/>
    <w:rsid w:val="00E5633A"/>
    <w:rsid w:val="00E56567"/>
    <w:rsid w:val="00E5697D"/>
    <w:rsid w:val="00E56B0D"/>
    <w:rsid w:val="00E56C5C"/>
    <w:rsid w:val="00E5710A"/>
    <w:rsid w:val="00E57113"/>
    <w:rsid w:val="00E57327"/>
    <w:rsid w:val="00E578A5"/>
    <w:rsid w:val="00E57912"/>
    <w:rsid w:val="00E600BE"/>
    <w:rsid w:val="00E601F7"/>
    <w:rsid w:val="00E6029A"/>
    <w:rsid w:val="00E604DB"/>
    <w:rsid w:val="00E60550"/>
    <w:rsid w:val="00E60C0D"/>
    <w:rsid w:val="00E60D02"/>
    <w:rsid w:val="00E60E29"/>
    <w:rsid w:val="00E60ED0"/>
    <w:rsid w:val="00E6116A"/>
    <w:rsid w:val="00E611CE"/>
    <w:rsid w:val="00E61910"/>
    <w:rsid w:val="00E61A7D"/>
    <w:rsid w:val="00E61B50"/>
    <w:rsid w:val="00E61C29"/>
    <w:rsid w:val="00E61CC8"/>
    <w:rsid w:val="00E61E44"/>
    <w:rsid w:val="00E6240B"/>
    <w:rsid w:val="00E62448"/>
    <w:rsid w:val="00E62495"/>
    <w:rsid w:val="00E6260E"/>
    <w:rsid w:val="00E62B85"/>
    <w:rsid w:val="00E6321D"/>
    <w:rsid w:val="00E636BE"/>
    <w:rsid w:val="00E637CC"/>
    <w:rsid w:val="00E639AE"/>
    <w:rsid w:val="00E63A44"/>
    <w:rsid w:val="00E63A98"/>
    <w:rsid w:val="00E640E9"/>
    <w:rsid w:val="00E6413B"/>
    <w:rsid w:val="00E644DA"/>
    <w:rsid w:val="00E644F8"/>
    <w:rsid w:val="00E645DB"/>
    <w:rsid w:val="00E64A61"/>
    <w:rsid w:val="00E65258"/>
    <w:rsid w:val="00E653D7"/>
    <w:rsid w:val="00E65415"/>
    <w:rsid w:val="00E6551F"/>
    <w:rsid w:val="00E65E00"/>
    <w:rsid w:val="00E65E4D"/>
    <w:rsid w:val="00E6637B"/>
    <w:rsid w:val="00E6640F"/>
    <w:rsid w:val="00E6682E"/>
    <w:rsid w:val="00E66BCA"/>
    <w:rsid w:val="00E66BEF"/>
    <w:rsid w:val="00E6709D"/>
    <w:rsid w:val="00E67640"/>
    <w:rsid w:val="00E6782C"/>
    <w:rsid w:val="00E67EE8"/>
    <w:rsid w:val="00E70283"/>
    <w:rsid w:val="00E70641"/>
    <w:rsid w:val="00E7085E"/>
    <w:rsid w:val="00E70A3D"/>
    <w:rsid w:val="00E70B1A"/>
    <w:rsid w:val="00E71064"/>
    <w:rsid w:val="00E71078"/>
    <w:rsid w:val="00E7119B"/>
    <w:rsid w:val="00E7123C"/>
    <w:rsid w:val="00E7138D"/>
    <w:rsid w:val="00E7181F"/>
    <w:rsid w:val="00E7185C"/>
    <w:rsid w:val="00E71933"/>
    <w:rsid w:val="00E71969"/>
    <w:rsid w:val="00E719BE"/>
    <w:rsid w:val="00E71BAD"/>
    <w:rsid w:val="00E71BD4"/>
    <w:rsid w:val="00E721E9"/>
    <w:rsid w:val="00E72204"/>
    <w:rsid w:val="00E72375"/>
    <w:rsid w:val="00E7289E"/>
    <w:rsid w:val="00E72912"/>
    <w:rsid w:val="00E72ABB"/>
    <w:rsid w:val="00E72DCF"/>
    <w:rsid w:val="00E7323F"/>
    <w:rsid w:val="00E733EE"/>
    <w:rsid w:val="00E73501"/>
    <w:rsid w:val="00E7381B"/>
    <w:rsid w:val="00E73B13"/>
    <w:rsid w:val="00E73FF0"/>
    <w:rsid w:val="00E74156"/>
    <w:rsid w:val="00E7475B"/>
    <w:rsid w:val="00E74880"/>
    <w:rsid w:val="00E7488F"/>
    <w:rsid w:val="00E7494F"/>
    <w:rsid w:val="00E7498C"/>
    <w:rsid w:val="00E74A0E"/>
    <w:rsid w:val="00E74AFD"/>
    <w:rsid w:val="00E74E84"/>
    <w:rsid w:val="00E74EB1"/>
    <w:rsid w:val="00E750A3"/>
    <w:rsid w:val="00E75721"/>
    <w:rsid w:val="00E757F9"/>
    <w:rsid w:val="00E75ABD"/>
    <w:rsid w:val="00E75D24"/>
    <w:rsid w:val="00E76133"/>
    <w:rsid w:val="00E76170"/>
    <w:rsid w:val="00E763AC"/>
    <w:rsid w:val="00E763E3"/>
    <w:rsid w:val="00E76558"/>
    <w:rsid w:val="00E76714"/>
    <w:rsid w:val="00E76945"/>
    <w:rsid w:val="00E76C91"/>
    <w:rsid w:val="00E76E5D"/>
    <w:rsid w:val="00E76F98"/>
    <w:rsid w:val="00E77004"/>
    <w:rsid w:val="00E7744F"/>
    <w:rsid w:val="00E777CF"/>
    <w:rsid w:val="00E77DFE"/>
    <w:rsid w:val="00E80028"/>
    <w:rsid w:val="00E8069E"/>
    <w:rsid w:val="00E80777"/>
    <w:rsid w:val="00E80B19"/>
    <w:rsid w:val="00E80D95"/>
    <w:rsid w:val="00E81177"/>
    <w:rsid w:val="00E8118F"/>
    <w:rsid w:val="00E814C8"/>
    <w:rsid w:val="00E816A6"/>
    <w:rsid w:val="00E8172B"/>
    <w:rsid w:val="00E8176E"/>
    <w:rsid w:val="00E82002"/>
    <w:rsid w:val="00E820BB"/>
    <w:rsid w:val="00E82113"/>
    <w:rsid w:val="00E8228F"/>
    <w:rsid w:val="00E82506"/>
    <w:rsid w:val="00E82556"/>
    <w:rsid w:val="00E825DC"/>
    <w:rsid w:val="00E826C2"/>
    <w:rsid w:val="00E83087"/>
    <w:rsid w:val="00E83394"/>
    <w:rsid w:val="00E8347E"/>
    <w:rsid w:val="00E83559"/>
    <w:rsid w:val="00E8356E"/>
    <w:rsid w:val="00E83654"/>
    <w:rsid w:val="00E83E13"/>
    <w:rsid w:val="00E84094"/>
    <w:rsid w:val="00E8412B"/>
    <w:rsid w:val="00E84138"/>
    <w:rsid w:val="00E84180"/>
    <w:rsid w:val="00E84329"/>
    <w:rsid w:val="00E844AF"/>
    <w:rsid w:val="00E84613"/>
    <w:rsid w:val="00E84826"/>
    <w:rsid w:val="00E84D00"/>
    <w:rsid w:val="00E85006"/>
    <w:rsid w:val="00E85170"/>
    <w:rsid w:val="00E85270"/>
    <w:rsid w:val="00E85588"/>
    <w:rsid w:val="00E855A2"/>
    <w:rsid w:val="00E855DA"/>
    <w:rsid w:val="00E8565B"/>
    <w:rsid w:val="00E85789"/>
    <w:rsid w:val="00E85ACB"/>
    <w:rsid w:val="00E85B18"/>
    <w:rsid w:val="00E85B26"/>
    <w:rsid w:val="00E85EF6"/>
    <w:rsid w:val="00E86031"/>
    <w:rsid w:val="00E863CB"/>
    <w:rsid w:val="00E863D6"/>
    <w:rsid w:val="00E868E5"/>
    <w:rsid w:val="00E86A6D"/>
    <w:rsid w:val="00E86E55"/>
    <w:rsid w:val="00E871CA"/>
    <w:rsid w:val="00E873FA"/>
    <w:rsid w:val="00E87477"/>
    <w:rsid w:val="00E87542"/>
    <w:rsid w:val="00E876E6"/>
    <w:rsid w:val="00E87D79"/>
    <w:rsid w:val="00E87F13"/>
    <w:rsid w:val="00E9017E"/>
    <w:rsid w:val="00E9031E"/>
    <w:rsid w:val="00E90470"/>
    <w:rsid w:val="00E904F0"/>
    <w:rsid w:val="00E905C6"/>
    <w:rsid w:val="00E909D8"/>
    <w:rsid w:val="00E91210"/>
    <w:rsid w:val="00E91290"/>
    <w:rsid w:val="00E91359"/>
    <w:rsid w:val="00E9153D"/>
    <w:rsid w:val="00E9163F"/>
    <w:rsid w:val="00E91BF2"/>
    <w:rsid w:val="00E91C2C"/>
    <w:rsid w:val="00E91D1F"/>
    <w:rsid w:val="00E91E1B"/>
    <w:rsid w:val="00E91E83"/>
    <w:rsid w:val="00E922B5"/>
    <w:rsid w:val="00E923F1"/>
    <w:rsid w:val="00E92CD6"/>
    <w:rsid w:val="00E92E3E"/>
    <w:rsid w:val="00E92EA1"/>
    <w:rsid w:val="00E93629"/>
    <w:rsid w:val="00E936A0"/>
    <w:rsid w:val="00E9372A"/>
    <w:rsid w:val="00E9396E"/>
    <w:rsid w:val="00E939C2"/>
    <w:rsid w:val="00E9402A"/>
    <w:rsid w:val="00E9415B"/>
    <w:rsid w:val="00E94322"/>
    <w:rsid w:val="00E943D7"/>
    <w:rsid w:val="00E9444E"/>
    <w:rsid w:val="00E944EA"/>
    <w:rsid w:val="00E9478C"/>
    <w:rsid w:val="00E94ABC"/>
    <w:rsid w:val="00E94C25"/>
    <w:rsid w:val="00E94C50"/>
    <w:rsid w:val="00E94D16"/>
    <w:rsid w:val="00E94F7E"/>
    <w:rsid w:val="00E95110"/>
    <w:rsid w:val="00E9539C"/>
    <w:rsid w:val="00E95B1A"/>
    <w:rsid w:val="00E95C62"/>
    <w:rsid w:val="00E9619D"/>
    <w:rsid w:val="00E96393"/>
    <w:rsid w:val="00E96575"/>
    <w:rsid w:val="00E9670F"/>
    <w:rsid w:val="00E96DF8"/>
    <w:rsid w:val="00E9700D"/>
    <w:rsid w:val="00E97A73"/>
    <w:rsid w:val="00E97E61"/>
    <w:rsid w:val="00E97F12"/>
    <w:rsid w:val="00E97F41"/>
    <w:rsid w:val="00EA00EA"/>
    <w:rsid w:val="00EA03FA"/>
    <w:rsid w:val="00EA046E"/>
    <w:rsid w:val="00EA077F"/>
    <w:rsid w:val="00EA0AE2"/>
    <w:rsid w:val="00EA0D19"/>
    <w:rsid w:val="00EA101C"/>
    <w:rsid w:val="00EA1152"/>
    <w:rsid w:val="00EA1504"/>
    <w:rsid w:val="00EA1A02"/>
    <w:rsid w:val="00EA1C6C"/>
    <w:rsid w:val="00EA1CFF"/>
    <w:rsid w:val="00EA1DA9"/>
    <w:rsid w:val="00EA2200"/>
    <w:rsid w:val="00EA2208"/>
    <w:rsid w:val="00EA2427"/>
    <w:rsid w:val="00EA25EE"/>
    <w:rsid w:val="00EA2722"/>
    <w:rsid w:val="00EA2EF7"/>
    <w:rsid w:val="00EA2FC7"/>
    <w:rsid w:val="00EA31C5"/>
    <w:rsid w:val="00EA37FF"/>
    <w:rsid w:val="00EA3998"/>
    <w:rsid w:val="00EA3BE8"/>
    <w:rsid w:val="00EA3F47"/>
    <w:rsid w:val="00EA4172"/>
    <w:rsid w:val="00EA472E"/>
    <w:rsid w:val="00EA4827"/>
    <w:rsid w:val="00EA4AF1"/>
    <w:rsid w:val="00EA4BA0"/>
    <w:rsid w:val="00EA4DDB"/>
    <w:rsid w:val="00EA4E43"/>
    <w:rsid w:val="00EA52F8"/>
    <w:rsid w:val="00EA53EA"/>
    <w:rsid w:val="00EA573C"/>
    <w:rsid w:val="00EA5F2E"/>
    <w:rsid w:val="00EA60F6"/>
    <w:rsid w:val="00EA61B0"/>
    <w:rsid w:val="00EA628F"/>
    <w:rsid w:val="00EA62BF"/>
    <w:rsid w:val="00EA62F1"/>
    <w:rsid w:val="00EA65A1"/>
    <w:rsid w:val="00EA673F"/>
    <w:rsid w:val="00EA696C"/>
    <w:rsid w:val="00EA6C60"/>
    <w:rsid w:val="00EA6EC7"/>
    <w:rsid w:val="00EA72A5"/>
    <w:rsid w:val="00EA76D2"/>
    <w:rsid w:val="00EA772A"/>
    <w:rsid w:val="00EA783F"/>
    <w:rsid w:val="00EAE705"/>
    <w:rsid w:val="00EB0315"/>
    <w:rsid w:val="00EB07BA"/>
    <w:rsid w:val="00EB081A"/>
    <w:rsid w:val="00EB0A3B"/>
    <w:rsid w:val="00EB0CBF"/>
    <w:rsid w:val="00EB118D"/>
    <w:rsid w:val="00EB139B"/>
    <w:rsid w:val="00EB142D"/>
    <w:rsid w:val="00EB14BB"/>
    <w:rsid w:val="00EB1966"/>
    <w:rsid w:val="00EB198E"/>
    <w:rsid w:val="00EB1B26"/>
    <w:rsid w:val="00EB1F55"/>
    <w:rsid w:val="00EB24C8"/>
    <w:rsid w:val="00EB31CF"/>
    <w:rsid w:val="00EB32AF"/>
    <w:rsid w:val="00EB360E"/>
    <w:rsid w:val="00EB3743"/>
    <w:rsid w:val="00EB3948"/>
    <w:rsid w:val="00EB39C9"/>
    <w:rsid w:val="00EB3AE9"/>
    <w:rsid w:val="00EB3CA5"/>
    <w:rsid w:val="00EB41DC"/>
    <w:rsid w:val="00EB4230"/>
    <w:rsid w:val="00EB4454"/>
    <w:rsid w:val="00EB479C"/>
    <w:rsid w:val="00EB4B8B"/>
    <w:rsid w:val="00EB4BFE"/>
    <w:rsid w:val="00EB4CBB"/>
    <w:rsid w:val="00EB4D09"/>
    <w:rsid w:val="00EB4DBA"/>
    <w:rsid w:val="00EB5190"/>
    <w:rsid w:val="00EB5516"/>
    <w:rsid w:val="00EB55E5"/>
    <w:rsid w:val="00EB56F6"/>
    <w:rsid w:val="00EB57F2"/>
    <w:rsid w:val="00EB5CF9"/>
    <w:rsid w:val="00EB670D"/>
    <w:rsid w:val="00EB6B1E"/>
    <w:rsid w:val="00EB6D5B"/>
    <w:rsid w:val="00EB6E34"/>
    <w:rsid w:val="00EB6EBC"/>
    <w:rsid w:val="00EB6F36"/>
    <w:rsid w:val="00EB7044"/>
    <w:rsid w:val="00EB727E"/>
    <w:rsid w:val="00EB786B"/>
    <w:rsid w:val="00EB7969"/>
    <w:rsid w:val="00EB7E08"/>
    <w:rsid w:val="00EC0442"/>
    <w:rsid w:val="00EC05E4"/>
    <w:rsid w:val="00EC08C5"/>
    <w:rsid w:val="00EC0D90"/>
    <w:rsid w:val="00EC0EF0"/>
    <w:rsid w:val="00EC1167"/>
    <w:rsid w:val="00EC12E9"/>
    <w:rsid w:val="00EC12F4"/>
    <w:rsid w:val="00EC1363"/>
    <w:rsid w:val="00EC1448"/>
    <w:rsid w:val="00EC196D"/>
    <w:rsid w:val="00EC1AF4"/>
    <w:rsid w:val="00EC1B4E"/>
    <w:rsid w:val="00EC1BE5"/>
    <w:rsid w:val="00EC1CF4"/>
    <w:rsid w:val="00EC1D63"/>
    <w:rsid w:val="00EC2037"/>
    <w:rsid w:val="00EC223C"/>
    <w:rsid w:val="00EC22AD"/>
    <w:rsid w:val="00EC276E"/>
    <w:rsid w:val="00EC27A4"/>
    <w:rsid w:val="00EC29E4"/>
    <w:rsid w:val="00EC2AD6"/>
    <w:rsid w:val="00EC2E17"/>
    <w:rsid w:val="00EC2E85"/>
    <w:rsid w:val="00EC30E5"/>
    <w:rsid w:val="00EC3280"/>
    <w:rsid w:val="00EC3340"/>
    <w:rsid w:val="00EC3617"/>
    <w:rsid w:val="00EC3761"/>
    <w:rsid w:val="00EC3BE0"/>
    <w:rsid w:val="00EC3CB6"/>
    <w:rsid w:val="00EC4593"/>
    <w:rsid w:val="00EC46A1"/>
    <w:rsid w:val="00EC4ACF"/>
    <w:rsid w:val="00EC4C06"/>
    <w:rsid w:val="00EC5184"/>
    <w:rsid w:val="00EC58CF"/>
    <w:rsid w:val="00EC5A8C"/>
    <w:rsid w:val="00EC5BE3"/>
    <w:rsid w:val="00EC5CB2"/>
    <w:rsid w:val="00EC60DA"/>
    <w:rsid w:val="00EC63AB"/>
    <w:rsid w:val="00EC63ED"/>
    <w:rsid w:val="00EC646D"/>
    <w:rsid w:val="00EC69F1"/>
    <w:rsid w:val="00EC6D48"/>
    <w:rsid w:val="00EC6F53"/>
    <w:rsid w:val="00EC711A"/>
    <w:rsid w:val="00EC7599"/>
    <w:rsid w:val="00EC7605"/>
    <w:rsid w:val="00EC771B"/>
    <w:rsid w:val="00EC7900"/>
    <w:rsid w:val="00EC7A85"/>
    <w:rsid w:val="00EC7B07"/>
    <w:rsid w:val="00ED0683"/>
    <w:rsid w:val="00ED0B34"/>
    <w:rsid w:val="00ED0E21"/>
    <w:rsid w:val="00ED11A1"/>
    <w:rsid w:val="00ED11A3"/>
    <w:rsid w:val="00ED12B4"/>
    <w:rsid w:val="00ED142D"/>
    <w:rsid w:val="00ED148B"/>
    <w:rsid w:val="00ED1535"/>
    <w:rsid w:val="00ED164D"/>
    <w:rsid w:val="00ED1658"/>
    <w:rsid w:val="00ED1666"/>
    <w:rsid w:val="00ED181D"/>
    <w:rsid w:val="00ED1A4F"/>
    <w:rsid w:val="00ED1DC9"/>
    <w:rsid w:val="00ED20A4"/>
    <w:rsid w:val="00ED21BD"/>
    <w:rsid w:val="00ED22C5"/>
    <w:rsid w:val="00ED29E5"/>
    <w:rsid w:val="00ED2DD1"/>
    <w:rsid w:val="00ED2DE8"/>
    <w:rsid w:val="00ED2ED6"/>
    <w:rsid w:val="00ED3025"/>
    <w:rsid w:val="00ED321D"/>
    <w:rsid w:val="00ED336A"/>
    <w:rsid w:val="00ED3672"/>
    <w:rsid w:val="00ED39C7"/>
    <w:rsid w:val="00ED3CD9"/>
    <w:rsid w:val="00ED3E4F"/>
    <w:rsid w:val="00ED3EC3"/>
    <w:rsid w:val="00ED41A4"/>
    <w:rsid w:val="00ED4714"/>
    <w:rsid w:val="00ED5162"/>
    <w:rsid w:val="00ED53CE"/>
    <w:rsid w:val="00ED53EA"/>
    <w:rsid w:val="00ED55D9"/>
    <w:rsid w:val="00ED58D1"/>
    <w:rsid w:val="00ED59E0"/>
    <w:rsid w:val="00ED5C92"/>
    <w:rsid w:val="00ED6776"/>
    <w:rsid w:val="00ED6A70"/>
    <w:rsid w:val="00ED6BD7"/>
    <w:rsid w:val="00ED7220"/>
    <w:rsid w:val="00ED7633"/>
    <w:rsid w:val="00ED7B2C"/>
    <w:rsid w:val="00ED7B32"/>
    <w:rsid w:val="00ED7C59"/>
    <w:rsid w:val="00ED7DE7"/>
    <w:rsid w:val="00EE00A3"/>
    <w:rsid w:val="00EE0389"/>
    <w:rsid w:val="00EE082C"/>
    <w:rsid w:val="00EE0EE7"/>
    <w:rsid w:val="00EE0F36"/>
    <w:rsid w:val="00EE1048"/>
    <w:rsid w:val="00EE11E3"/>
    <w:rsid w:val="00EE12A4"/>
    <w:rsid w:val="00EE12E2"/>
    <w:rsid w:val="00EE165A"/>
    <w:rsid w:val="00EE16BA"/>
    <w:rsid w:val="00EE18DE"/>
    <w:rsid w:val="00EE19E1"/>
    <w:rsid w:val="00EE1DC6"/>
    <w:rsid w:val="00EE2811"/>
    <w:rsid w:val="00EE2A30"/>
    <w:rsid w:val="00EE2AA8"/>
    <w:rsid w:val="00EE2B37"/>
    <w:rsid w:val="00EE303C"/>
    <w:rsid w:val="00EE332A"/>
    <w:rsid w:val="00EE3586"/>
    <w:rsid w:val="00EE38C6"/>
    <w:rsid w:val="00EE3CD4"/>
    <w:rsid w:val="00EE46F0"/>
    <w:rsid w:val="00EE4F84"/>
    <w:rsid w:val="00EE5104"/>
    <w:rsid w:val="00EE5217"/>
    <w:rsid w:val="00EE5574"/>
    <w:rsid w:val="00EE55E9"/>
    <w:rsid w:val="00EE56C0"/>
    <w:rsid w:val="00EE5C38"/>
    <w:rsid w:val="00EE5C8F"/>
    <w:rsid w:val="00EE5E01"/>
    <w:rsid w:val="00EE5F2A"/>
    <w:rsid w:val="00EE625D"/>
    <w:rsid w:val="00EE654B"/>
    <w:rsid w:val="00EE6684"/>
    <w:rsid w:val="00EE69DB"/>
    <w:rsid w:val="00EE6A7C"/>
    <w:rsid w:val="00EE6C44"/>
    <w:rsid w:val="00EE6F06"/>
    <w:rsid w:val="00EE7314"/>
    <w:rsid w:val="00EE7A7E"/>
    <w:rsid w:val="00EF0117"/>
    <w:rsid w:val="00EF0628"/>
    <w:rsid w:val="00EF0B11"/>
    <w:rsid w:val="00EF0C7E"/>
    <w:rsid w:val="00EF10E2"/>
    <w:rsid w:val="00EF1206"/>
    <w:rsid w:val="00EF1428"/>
    <w:rsid w:val="00EF1606"/>
    <w:rsid w:val="00EF1B62"/>
    <w:rsid w:val="00EF212C"/>
    <w:rsid w:val="00EF2391"/>
    <w:rsid w:val="00EF27FD"/>
    <w:rsid w:val="00EF29EF"/>
    <w:rsid w:val="00EF2A9D"/>
    <w:rsid w:val="00EF2D80"/>
    <w:rsid w:val="00EF2E35"/>
    <w:rsid w:val="00EF2ED1"/>
    <w:rsid w:val="00EF34FF"/>
    <w:rsid w:val="00EF3AF8"/>
    <w:rsid w:val="00EF3B69"/>
    <w:rsid w:val="00EF3C6E"/>
    <w:rsid w:val="00EF3C7E"/>
    <w:rsid w:val="00EF3F38"/>
    <w:rsid w:val="00EF4272"/>
    <w:rsid w:val="00EF45CF"/>
    <w:rsid w:val="00EF484F"/>
    <w:rsid w:val="00EF4C1D"/>
    <w:rsid w:val="00EF4E7B"/>
    <w:rsid w:val="00EF5091"/>
    <w:rsid w:val="00EF50B3"/>
    <w:rsid w:val="00EF5370"/>
    <w:rsid w:val="00EF56AB"/>
    <w:rsid w:val="00EF57F9"/>
    <w:rsid w:val="00EF5D6D"/>
    <w:rsid w:val="00EF694F"/>
    <w:rsid w:val="00EF6A63"/>
    <w:rsid w:val="00EF6C2C"/>
    <w:rsid w:val="00EF6F49"/>
    <w:rsid w:val="00EF7293"/>
    <w:rsid w:val="00EF72F9"/>
    <w:rsid w:val="00EF7461"/>
    <w:rsid w:val="00EF74B5"/>
    <w:rsid w:val="00EF74FB"/>
    <w:rsid w:val="00EF75A4"/>
    <w:rsid w:val="00EF762F"/>
    <w:rsid w:val="00EF76B0"/>
    <w:rsid w:val="00EF7E62"/>
    <w:rsid w:val="00F002E9"/>
    <w:rsid w:val="00F00427"/>
    <w:rsid w:val="00F00D45"/>
    <w:rsid w:val="00F00D7C"/>
    <w:rsid w:val="00F01351"/>
    <w:rsid w:val="00F014A6"/>
    <w:rsid w:val="00F014B2"/>
    <w:rsid w:val="00F0191A"/>
    <w:rsid w:val="00F01C8E"/>
    <w:rsid w:val="00F01F2E"/>
    <w:rsid w:val="00F020C0"/>
    <w:rsid w:val="00F0229C"/>
    <w:rsid w:val="00F023F6"/>
    <w:rsid w:val="00F024F8"/>
    <w:rsid w:val="00F02555"/>
    <w:rsid w:val="00F028DC"/>
    <w:rsid w:val="00F02B67"/>
    <w:rsid w:val="00F02C13"/>
    <w:rsid w:val="00F02F9D"/>
    <w:rsid w:val="00F0329C"/>
    <w:rsid w:val="00F033A9"/>
    <w:rsid w:val="00F03552"/>
    <w:rsid w:val="00F0364E"/>
    <w:rsid w:val="00F036BE"/>
    <w:rsid w:val="00F037AE"/>
    <w:rsid w:val="00F03997"/>
    <w:rsid w:val="00F040CB"/>
    <w:rsid w:val="00F04944"/>
    <w:rsid w:val="00F04E8B"/>
    <w:rsid w:val="00F04FFF"/>
    <w:rsid w:val="00F05110"/>
    <w:rsid w:val="00F055D4"/>
    <w:rsid w:val="00F055FA"/>
    <w:rsid w:val="00F05C34"/>
    <w:rsid w:val="00F05D82"/>
    <w:rsid w:val="00F06048"/>
    <w:rsid w:val="00F06291"/>
    <w:rsid w:val="00F064E6"/>
    <w:rsid w:val="00F0672C"/>
    <w:rsid w:val="00F0686E"/>
    <w:rsid w:val="00F06967"/>
    <w:rsid w:val="00F06BD0"/>
    <w:rsid w:val="00F06C74"/>
    <w:rsid w:val="00F06EFE"/>
    <w:rsid w:val="00F06F76"/>
    <w:rsid w:val="00F07232"/>
    <w:rsid w:val="00F07405"/>
    <w:rsid w:val="00F07445"/>
    <w:rsid w:val="00F0754B"/>
    <w:rsid w:val="00F076F6"/>
    <w:rsid w:val="00F077E5"/>
    <w:rsid w:val="00F07818"/>
    <w:rsid w:val="00F07842"/>
    <w:rsid w:val="00F07B76"/>
    <w:rsid w:val="00F07BED"/>
    <w:rsid w:val="00F07DFB"/>
    <w:rsid w:val="00F07F52"/>
    <w:rsid w:val="00F1005C"/>
    <w:rsid w:val="00F10FA7"/>
    <w:rsid w:val="00F113FD"/>
    <w:rsid w:val="00F1178B"/>
    <w:rsid w:val="00F1197E"/>
    <w:rsid w:val="00F11AA2"/>
    <w:rsid w:val="00F11AE7"/>
    <w:rsid w:val="00F11C3E"/>
    <w:rsid w:val="00F11CF3"/>
    <w:rsid w:val="00F11D5E"/>
    <w:rsid w:val="00F11FC6"/>
    <w:rsid w:val="00F1242E"/>
    <w:rsid w:val="00F128D8"/>
    <w:rsid w:val="00F12E47"/>
    <w:rsid w:val="00F12F16"/>
    <w:rsid w:val="00F13397"/>
    <w:rsid w:val="00F13419"/>
    <w:rsid w:val="00F13422"/>
    <w:rsid w:val="00F1347F"/>
    <w:rsid w:val="00F137E6"/>
    <w:rsid w:val="00F13880"/>
    <w:rsid w:val="00F13937"/>
    <w:rsid w:val="00F13C63"/>
    <w:rsid w:val="00F13D60"/>
    <w:rsid w:val="00F13EC8"/>
    <w:rsid w:val="00F1406C"/>
    <w:rsid w:val="00F142A5"/>
    <w:rsid w:val="00F14F1D"/>
    <w:rsid w:val="00F150B7"/>
    <w:rsid w:val="00F152B7"/>
    <w:rsid w:val="00F15463"/>
    <w:rsid w:val="00F15757"/>
    <w:rsid w:val="00F158AB"/>
    <w:rsid w:val="00F15BBD"/>
    <w:rsid w:val="00F161A2"/>
    <w:rsid w:val="00F162F1"/>
    <w:rsid w:val="00F163B4"/>
    <w:rsid w:val="00F164C2"/>
    <w:rsid w:val="00F16A24"/>
    <w:rsid w:val="00F16B18"/>
    <w:rsid w:val="00F16F94"/>
    <w:rsid w:val="00F17037"/>
    <w:rsid w:val="00F1724A"/>
    <w:rsid w:val="00F17559"/>
    <w:rsid w:val="00F1760E"/>
    <w:rsid w:val="00F17BA7"/>
    <w:rsid w:val="00F17BD5"/>
    <w:rsid w:val="00F203F6"/>
    <w:rsid w:val="00F20516"/>
    <w:rsid w:val="00F20F0D"/>
    <w:rsid w:val="00F20F7A"/>
    <w:rsid w:val="00F21063"/>
    <w:rsid w:val="00F2117B"/>
    <w:rsid w:val="00F213BE"/>
    <w:rsid w:val="00F21601"/>
    <w:rsid w:val="00F218A8"/>
    <w:rsid w:val="00F21949"/>
    <w:rsid w:val="00F21A00"/>
    <w:rsid w:val="00F21D20"/>
    <w:rsid w:val="00F21F81"/>
    <w:rsid w:val="00F22376"/>
    <w:rsid w:val="00F224CF"/>
    <w:rsid w:val="00F22B23"/>
    <w:rsid w:val="00F22B33"/>
    <w:rsid w:val="00F2327A"/>
    <w:rsid w:val="00F23459"/>
    <w:rsid w:val="00F23634"/>
    <w:rsid w:val="00F23B6B"/>
    <w:rsid w:val="00F23F7F"/>
    <w:rsid w:val="00F24114"/>
    <w:rsid w:val="00F241BA"/>
    <w:rsid w:val="00F2434B"/>
    <w:rsid w:val="00F24890"/>
    <w:rsid w:val="00F24926"/>
    <w:rsid w:val="00F24990"/>
    <w:rsid w:val="00F24F7B"/>
    <w:rsid w:val="00F250E5"/>
    <w:rsid w:val="00F25104"/>
    <w:rsid w:val="00F25195"/>
    <w:rsid w:val="00F256F7"/>
    <w:rsid w:val="00F257C7"/>
    <w:rsid w:val="00F25AD9"/>
    <w:rsid w:val="00F25BCE"/>
    <w:rsid w:val="00F264A9"/>
    <w:rsid w:val="00F26533"/>
    <w:rsid w:val="00F26998"/>
    <w:rsid w:val="00F26A43"/>
    <w:rsid w:val="00F26D99"/>
    <w:rsid w:val="00F26DFF"/>
    <w:rsid w:val="00F26FF9"/>
    <w:rsid w:val="00F2716F"/>
    <w:rsid w:val="00F27228"/>
    <w:rsid w:val="00F27357"/>
    <w:rsid w:val="00F2785D"/>
    <w:rsid w:val="00F2789C"/>
    <w:rsid w:val="00F27935"/>
    <w:rsid w:val="00F27CC0"/>
    <w:rsid w:val="00F30061"/>
    <w:rsid w:val="00F30352"/>
    <w:rsid w:val="00F3047B"/>
    <w:rsid w:val="00F304BB"/>
    <w:rsid w:val="00F3098C"/>
    <w:rsid w:val="00F30CCB"/>
    <w:rsid w:val="00F30CDC"/>
    <w:rsid w:val="00F30F18"/>
    <w:rsid w:val="00F31474"/>
    <w:rsid w:val="00F31679"/>
    <w:rsid w:val="00F31837"/>
    <w:rsid w:val="00F31AAE"/>
    <w:rsid w:val="00F31B98"/>
    <w:rsid w:val="00F31EA8"/>
    <w:rsid w:val="00F32290"/>
    <w:rsid w:val="00F3248F"/>
    <w:rsid w:val="00F3282A"/>
    <w:rsid w:val="00F3282C"/>
    <w:rsid w:val="00F32983"/>
    <w:rsid w:val="00F32B64"/>
    <w:rsid w:val="00F32DCA"/>
    <w:rsid w:val="00F339B3"/>
    <w:rsid w:val="00F33A54"/>
    <w:rsid w:val="00F33C05"/>
    <w:rsid w:val="00F33CF0"/>
    <w:rsid w:val="00F34172"/>
    <w:rsid w:val="00F341A7"/>
    <w:rsid w:val="00F3485E"/>
    <w:rsid w:val="00F34C5B"/>
    <w:rsid w:val="00F34C76"/>
    <w:rsid w:val="00F34D72"/>
    <w:rsid w:val="00F3572C"/>
    <w:rsid w:val="00F357F0"/>
    <w:rsid w:val="00F35B4A"/>
    <w:rsid w:val="00F35EBE"/>
    <w:rsid w:val="00F360E7"/>
    <w:rsid w:val="00F361B5"/>
    <w:rsid w:val="00F36402"/>
    <w:rsid w:val="00F366C1"/>
    <w:rsid w:val="00F36878"/>
    <w:rsid w:val="00F3689D"/>
    <w:rsid w:val="00F36B66"/>
    <w:rsid w:val="00F36DB5"/>
    <w:rsid w:val="00F36FA8"/>
    <w:rsid w:val="00F37227"/>
    <w:rsid w:val="00F374EC"/>
    <w:rsid w:val="00F3750F"/>
    <w:rsid w:val="00F37711"/>
    <w:rsid w:val="00F37C51"/>
    <w:rsid w:val="00F37DBB"/>
    <w:rsid w:val="00F3AE7E"/>
    <w:rsid w:val="00F4003C"/>
    <w:rsid w:val="00F401AB"/>
    <w:rsid w:val="00F4024A"/>
    <w:rsid w:val="00F409AA"/>
    <w:rsid w:val="00F409FB"/>
    <w:rsid w:val="00F40B16"/>
    <w:rsid w:val="00F40C82"/>
    <w:rsid w:val="00F40DAF"/>
    <w:rsid w:val="00F412A2"/>
    <w:rsid w:val="00F412B3"/>
    <w:rsid w:val="00F416F6"/>
    <w:rsid w:val="00F41C76"/>
    <w:rsid w:val="00F41E3F"/>
    <w:rsid w:val="00F425FD"/>
    <w:rsid w:val="00F42C21"/>
    <w:rsid w:val="00F42C3A"/>
    <w:rsid w:val="00F42E75"/>
    <w:rsid w:val="00F43B92"/>
    <w:rsid w:val="00F43E12"/>
    <w:rsid w:val="00F43EAB"/>
    <w:rsid w:val="00F44133"/>
    <w:rsid w:val="00F4426F"/>
    <w:rsid w:val="00F44446"/>
    <w:rsid w:val="00F445D4"/>
    <w:rsid w:val="00F44793"/>
    <w:rsid w:val="00F449F7"/>
    <w:rsid w:val="00F44A0F"/>
    <w:rsid w:val="00F44A22"/>
    <w:rsid w:val="00F44C6D"/>
    <w:rsid w:val="00F45056"/>
    <w:rsid w:val="00F4505E"/>
    <w:rsid w:val="00F45090"/>
    <w:rsid w:val="00F45480"/>
    <w:rsid w:val="00F4567F"/>
    <w:rsid w:val="00F45709"/>
    <w:rsid w:val="00F45C00"/>
    <w:rsid w:val="00F45F7A"/>
    <w:rsid w:val="00F4633A"/>
    <w:rsid w:val="00F46342"/>
    <w:rsid w:val="00F466C3"/>
    <w:rsid w:val="00F46800"/>
    <w:rsid w:val="00F46B54"/>
    <w:rsid w:val="00F46BE0"/>
    <w:rsid w:val="00F46F6E"/>
    <w:rsid w:val="00F470DD"/>
    <w:rsid w:val="00F47346"/>
    <w:rsid w:val="00F47472"/>
    <w:rsid w:val="00F4750F"/>
    <w:rsid w:val="00F477A9"/>
    <w:rsid w:val="00F4789A"/>
    <w:rsid w:val="00F478BA"/>
    <w:rsid w:val="00F47B44"/>
    <w:rsid w:val="00F47BE6"/>
    <w:rsid w:val="00F47C8A"/>
    <w:rsid w:val="00F47E55"/>
    <w:rsid w:val="00F47F18"/>
    <w:rsid w:val="00F50157"/>
    <w:rsid w:val="00F50442"/>
    <w:rsid w:val="00F50592"/>
    <w:rsid w:val="00F5095B"/>
    <w:rsid w:val="00F50C3F"/>
    <w:rsid w:val="00F5100E"/>
    <w:rsid w:val="00F51455"/>
    <w:rsid w:val="00F51802"/>
    <w:rsid w:val="00F519D1"/>
    <w:rsid w:val="00F51AD7"/>
    <w:rsid w:val="00F51AE3"/>
    <w:rsid w:val="00F51B7A"/>
    <w:rsid w:val="00F51E48"/>
    <w:rsid w:val="00F51E9E"/>
    <w:rsid w:val="00F525D8"/>
    <w:rsid w:val="00F5292C"/>
    <w:rsid w:val="00F52C29"/>
    <w:rsid w:val="00F52DBF"/>
    <w:rsid w:val="00F52E6E"/>
    <w:rsid w:val="00F5310C"/>
    <w:rsid w:val="00F53448"/>
    <w:rsid w:val="00F5344A"/>
    <w:rsid w:val="00F53462"/>
    <w:rsid w:val="00F53758"/>
    <w:rsid w:val="00F53774"/>
    <w:rsid w:val="00F5390C"/>
    <w:rsid w:val="00F539D2"/>
    <w:rsid w:val="00F53F20"/>
    <w:rsid w:val="00F54333"/>
    <w:rsid w:val="00F5463B"/>
    <w:rsid w:val="00F5470E"/>
    <w:rsid w:val="00F548E4"/>
    <w:rsid w:val="00F54A3E"/>
    <w:rsid w:val="00F54EC1"/>
    <w:rsid w:val="00F54F99"/>
    <w:rsid w:val="00F5518F"/>
    <w:rsid w:val="00F55550"/>
    <w:rsid w:val="00F55915"/>
    <w:rsid w:val="00F55BEA"/>
    <w:rsid w:val="00F55C34"/>
    <w:rsid w:val="00F55EEA"/>
    <w:rsid w:val="00F55F67"/>
    <w:rsid w:val="00F56133"/>
    <w:rsid w:val="00F561D3"/>
    <w:rsid w:val="00F56430"/>
    <w:rsid w:val="00F56659"/>
    <w:rsid w:val="00F5676E"/>
    <w:rsid w:val="00F56AD0"/>
    <w:rsid w:val="00F56B14"/>
    <w:rsid w:val="00F570EE"/>
    <w:rsid w:val="00F57235"/>
    <w:rsid w:val="00F572A0"/>
    <w:rsid w:val="00F57456"/>
    <w:rsid w:val="00F5761B"/>
    <w:rsid w:val="00F57788"/>
    <w:rsid w:val="00F5785A"/>
    <w:rsid w:val="00F578A0"/>
    <w:rsid w:val="00F578F9"/>
    <w:rsid w:val="00F57CA1"/>
    <w:rsid w:val="00F57F0F"/>
    <w:rsid w:val="00F6075F"/>
    <w:rsid w:val="00F607CF"/>
    <w:rsid w:val="00F6085C"/>
    <w:rsid w:val="00F60AA7"/>
    <w:rsid w:val="00F60AF4"/>
    <w:rsid w:val="00F60B35"/>
    <w:rsid w:val="00F60D69"/>
    <w:rsid w:val="00F611F2"/>
    <w:rsid w:val="00F61611"/>
    <w:rsid w:val="00F61D8A"/>
    <w:rsid w:val="00F621E8"/>
    <w:rsid w:val="00F625EE"/>
    <w:rsid w:val="00F628C5"/>
    <w:rsid w:val="00F62BBF"/>
    <w:rsid w:val="00F62C32"/>
    <w:rsid w:val="00F62C36"/>
    <w:rsid w:val="00F62E51"/>
    <w:rsid w:val="00F634F9"/>
    <w:rsid w:val="00F63575"/>
    <w:rsid w:val="00F6378D"/>
    <w:rsid w:val="00F63835"/>
    <w:rsid w:val="00F63C18"/>
    <w:rsid w:val="00F6405C"/>
    <w:rsid w:val="00F6416A"/>
    <w:rsid w:val="00F6448C"/>
    <w:rsid w:val="00F645E8"/>
    <w:rsid w:val="00F645FD"/>
    <w:rsid w:val="00F6498E"/>
    <w:rsid w:val="00F64C25"/>
    <w:rsid w:val="00F64CF8"/>
    <w:rsid w:val="00F64F32"/>
    <w:rsid w:val="00F65039"/>
    <w:rsid w:val="00F651E7"/>
    <w:rsid w:val="00F652C1"/>
    <w:rsid w:val="00F652C5"/>
    <w:rsid w:val="00F65478"/>
    <w:rsid w:val="00F65730"/>
    <w:rsid w:val="00F6591B"/>
    <w:rsid w:val="00F65AD0"/>
    <w:rsid w:val="00F66A38"/>
    <w:rsid w:val="00F66CE2"/>
    <w:rsid w:val="00F66EE2"/>
    <w:rsid w:val="00F673A4"/>
    <w:rsid w:val="00F67630"/>
    <w:rsid w:val="00F67AE2"/>
    <w:rsid w:val="00F67C18"/>
    <w:rsid w:val="00F67C6F"/>
    <w:rsid w:val="00F67FED"/>
    <w:rsid w:val="00F70BE8"/>
    <w:rsid w:val="00F70CE9"/>
    <w:rsid w:val="00F71005"/>
    <w:rsid w:val="00F716B7"/>
    <w:rsid w:val="00F71707"/>
    <w:rsid w:val="00F71753"/>
    <w:rsid w:val="00F71888"/>
    <w:rsid w:val="00F71A51"/>
    <w:rsid w:val="00F71B65"/>
    <w:rsid w:val="00F71BBC"/>
    <w:rsid w:val="00F71BFB"/>
    <w:rsid w:val="00F71EC9"/>
    <w:rsid w:val="00F71F3E"/>
    <w:rsid w:val="00F71F75"/>
    <w:rsid w:val="00F722E8"/>
    <w:rsid w:val="00F72474"/>
    <w:rsid w:val="00F728EE"/>
    <w:rsid w:val="00F72946"/>
    <w:rsid w:val="00F7294A"/>
    <w:rsid w:val="00F7296F"/>
    <w:rsid w:val="00F72C14"/>
    <w:rsid w:val="00F72CBB"/>
    <w:rsid w:val="00F72F64"/>
    <w:rsid w:val="00F73097"/>
    <w:rsid w:val="00F73100"/>
    <w:rsid w:val="00F736A6"/>
    <w:rsid w:val="00F736B7"/>
    <w:rsid w:val="00F73C22"/>
    <w:rsid w:val="00F74425"/>
    <w:rsid w:val="00F744ED"/>
    <w:rsid w:val="00F74C43"/>
    <w:rsid w:val="00F74E9F"/>
    <w:rsid w:val="00F75372"/>
    <w:rsid w:val="00F75643"/>
    <w:rsid w:val="00F75BDC"/>
    <w:rsid w:val="00F75D99"/>
    <w:rsid w:val="00F75DA0"/>
    <w:rsid w:val="00F75E8F"/>
    <w:rsid w:val="00F75F8C"/>
    <w:rsid w:val="00F75FAF"/>
    <w:rsid w:val="00F76145"/>
    <w:rsid w:val="00F7654A"/>
    <w:rsid w:val="00F768FC"/>
    <w:rsid w:val="00F76906"/>
    <w:rsid w:val="00F76A18"/>
    <w:rsid w:val="00F76D57"/>
    <w:rsid w:val="00F76E21"/>
    <w:rsid w:val="00F76EFA"/>
    <w:rsid w:val="00F76F5C"/>
    <w:rsid w:val="00F7725F"/>
    <w:rsid w:val="00F7744E"/>
    <w:rsid w:val="00F77C1C"/>
    <w:rsid w:val="00F80315"/>
    <w:rsid w:val="00F8031F"/>
    <w:rsid w:val="00F804C4"/>
    <w:rsid w:val="00F80C6C"/>
    <w:rsid w:val="00F80D3B"/>
    <w:rsid w:val="00F80DBC"/>
    <w:rsid w:val="00F81B02"/>
    <w:rsid w:val="00F821FA"/>
    <w:rsid w:val="00F82275"/>
    <w:rsid w:val="00F822B2"/>
    <w:rsid w:val="00F82685"/>
    <w:rsid w:val="00F82733"/>
    <w:rsid w:val="00F82746"/>
    <w:rsid w:val="00F828B1"/>
    <w:rsid w:val="00F82904"/>
    <w:rsid w:val="00F82AB7"/>
    <w:rsid w:val="00F82ADF"/>
    <w:rsid w:val="00F82CC7"/>
    <w:rsid w:val="00F82D6C"/>
    <w:rsid w:val="00F82FC8"/>
    <w:rsid w:val="00F834CB"/>
    <w:rsid w:val="00F83719"/>
    <w:rsid w:val="00F839B3"/>
    <w:rsid w:val="00F83B31"/>
    <w:rsid w:val="00F83BDB"/>
    <w:rsid w:val="00F83C15"/>
    <w:rsid w:val="00F83ED5"/>
    <w:rsid w:val="00F83FEE"/>
    <w:rsid w:val="00F84033"/>
    <w:rsid w:val="00F840F5"/>
    <w:rsid w:val="00F849A9"/>
    <w:rsid w:val="00F84C18"/>
    <w:rsid w:val="00F84C1A"/>
    <w:rsid w:val="00F84D30"/>
    <w:rsid w:val="00F850C1"/>
    <w:rsid w:val="00F85365"/>
    <w:rsid w:val="00F85377"/>
    <w:rsid w:val="00F85527"/>
    <w:rsid w:val="00F856E2"/>
    <w:rsid w:val="00F85776"/>
    <w:rsid w:val="00F85C4B"/>
    <w:rsid w:val="00F86170"/>
    <w:rsid w:val="00F861BB"/>
    <w:rsid w:val="00F8625D"/>
    <w:rsid w:val="00F8675D"/>
    <w:rsid w:val="00F86771"/>
    <w:rsid w:val="00F86A82"/>
    <w:rsid w:val="00F86C62"/>
    <w:rsid w:val="00F86D99"/>
    <w:rsid w:val="00F86E37"/>
    <w:rsid w:val="00F86E9D"/>
    <w:rsid w:val="00F8778F"/>
    <w:rsid w:val="00F87E6C"/>
    <w:rsid w:val="00F87EA2"/>
    <w:rsid w:val="00F87F01"/>
    <w:rsid w:val="00F903C5"/>
    <w:rsid w:val="00F90725"/>
    <w:rsid w:val="00F90FED"/>
    <w:rsid w:val="00F914FA"/>
    <w:rsid w:val="00F91538"/>
    <w:rsid w:val="00F91B93"/>
    <w:rsid w:val="00F91C30"/>
    <w:rsid w:val="00F91D6F"/>
    <w:rsid w:val="00F91F48"/>
    <w:rsid w:val="00F91F74"/>
    <w:rsid w:val="00F91FB6"/>
    <w:rsid w:val="00F9217C"/>
    <w:rsid w:val="00F92378"/>
    <w:rsid w:val="00F92386"/>
    <w:rsid w:val="00F924FE"/>
    <w:rsid w:val="00F92881"/>
    <w:rsid w:val="00F92AF3"/>
    <w:rsid w:val="00F92BA8"/>
    <w:rsid w:val="00F92CB3"/>
    <w:rsid w:val="00F92EEC"/>
    <w:rsid w:val="00F92EF5"/>
    <w:rsid w:val="00F930B7"/>
    <w:rsid w:val="00F9327E"/>
    <w:rsid w:val="00F93451"/>
    <w:rsid w:val="00F935A0"/>
    <w:rsid w:val="00F935BD"/>
    <w:rsid w:val="00F935F9"/>
    <w:rsid w:val="00F936A6"/>
    <w:rsid w:val="00F93770"/>
    <w:rsid w:val="00F94119"/>
    <w:rsid w:val="00F9470E"/>
    <w:rsid w:val="00F94ACF"/>
    <w:rsid w:val="00F94B36"/>
    <w:rsid w:val="00F94F63"/>
    <w:rsid w:val="00F94FE9"/>
    <w:rsid w:val="00F95110"/>
    <w:rsid w:val="00F95263"/>
    <w:rsid w:val="00F95627"/>
    <w:rsid w:val="00F95922"/>
    <w:rsid w:val="00F95B20"/>
    <w:rsid w:val="00F95C7F"/>
    <w:rsid w:val="00F95F42"/>
    <w:rsid w:val="00F96196"/>
    <w:rsid w:val="00F9646F"/>
    <w:rsid w:val="00F964B9"/>
    <w:rsid w:val="00F96753"/>
    <w:rsid w:val="00F9677D"/>
    <w:rsid w:val="00F96800"/>
    <w:rsid w:val="00F96851"/>
    <w:rsid w:val="00F96A37"/>
    <w:rsid w:val="00F96BA0"/>
    <w:rsid w:val="00F96D32"/>
    <w:rsid w:val="00F96E38"/>
    <w:rsid w:val="00F96ED9"/>
    <w:rsid w:val="00F96F04"/>
    <w:rsid w:val="00F97107"/>
    <w:rsid w:val="00F97891"/>
    <w:rsid w:val="00F9799F"/>
    <w:rsid w:val="00F97ADC"/>
    <w:rsid w:val="00F97C68"/>
    <w:rsid w:val="00FA01AC"/>
    <w:rsid w:val="00FA0412"/>
    <w:rsid w:val="00FA0686"/>
    <w:rsid w:val="00FA0ADA"/>
    <w:rsid w:val="00FA10CE"/>
    <w:rsid w:val="00FA1B56"/>
    <w:rsid w:val="00FA1DA1"/>
    <w:rsid w:val="00FA2058"/>
    <w:rsid w:val="00FA2189"/>
    <w:rsid w:val="00FA21A1"/>
    <w:rsid w:val="00FA2276"/>
    <w:rsid w:val="00FA230C"/>
    <w:rsid w:val="00FA2949"/>
    <w:rsid w:val="00FA2A70"/>
    <w:rsid w:val="00FA2ADB"/>
    <w:rsid w:val="00FA2C40"/>
    <w:rsid w:val="00FA2CC1"/>
    <w:rsid w:val="00FA3EB6"/>
    <w:rsid w:val="00FA4446"/>
    <w:rsid w:val="00FA448E"/>
    <w:rsid w:val="00FA4AEE"/>
    <w:rsid w:val="00FA4EF9"/>
    <w:rsid w:val="00FA4F4D"/>
    <w:rsid w:val="00FA5408"/>
    <w:rsid w:val="00FA5799"/>
    <w:rsid w:val="00FA57D1"/>
    <w:rsid w:val="00FA580C"/>
    <w:rsid w:val="00FA5B3B"/>
    <w:rsid w:val="00FA5B44"/>
    <w:rsid w:val="00FA5BA2"/>
    <w:rsid w:val="00FA614D"/>
    <w:rsid w:val="00FA63AB"/>
    <w:rsid w:val="00FA661A"/>
    <w:rsid w:val="00FA6925"/>
    <w:rsid w:val="00FA6B25"/>
    <w:rsid w:val="00FA6B63"/>
    <w:rsid w:val="00FA6E1B"/>
    <w:rsid w:val="00FA6FB2"/>
    <w:rsid w:val="00FA71DF"/>
    <w:rsid w:val="00FA7303"/>
    <w:rsid w:val="00FA749E"/>
    <w:rsid w:val="00FA74E8"/>
    <w:rsid w:val="00FA7873"/>
    <w:rsid w:val="00FA7A2C"/>
    <w:rsid w:val="00FA7B55"/>
    <w:rsid w:val="00FA7CF6"/>
    <w:rsid w:val="00FA7D09"/>
    <w:rsid w:val="00FA7F04"/>
    <w:rsid w:val="00FB0118"/>
    <w:rsid w:val="00FB0364"/>
    <w:rsid w:val="00FB03E8"/>
    <w:rsid w:val="00FB05F3"/>
    <w:rsid w:val="00FB0840"/>
    <w:rsid w:val="00FB0849"/>
    <w:rsid w:val="00FB0B8E"/>
    <w:rsid w:val="00FB0BFF"/>
    <w:rsid w:val="00FB0EC9"/>
    <w:rsid w:val="00FB1039"/>
    <w:rsid w:val="00FB10C2"/>
    <w:rsid w:val="00FB16DC"/>
    <w:rsid w:val="00FB1A10"/>
    <w:rsid w:val="00FB201A"/>
    <w:rsid w:val="00FB25E3"/>
    <w:rsid w:val="00FB26EE"/>
    <w:rsid w:val="00FB2897"/>
    <w:rsid w:val="00FB3F62"/>
    <w:rsid w:val="00FB3FC7"/>
    <w:rsid w:val="00FB401E"/>
    <w:rsid w:val="00FB4070"/>
    <w:rsid w:val="00FB42A7"/>
    <w:rsid w:val="00FB434B"/>
    <w:rsid w:val="00FB4513"/>
    <w:rsid w:val="00FB4725"/>
    <w:rsid w:val="00FB4747"/>
    <w:rsid w:val="00FB49BB"/>
    <w:rsid w:val="00FB5A12"/>
    <w:rsid w:val="00FB65C0"/>
    <w:rsid w:val="00FB6E16"/>
    <w:rsid w:val="00FB6FB2"/>
    <w:rsid w:val="00FB7072"/>
    <w:rsid w:val="00FB7266"/>
    <w:rsid w:val="00FB75FC"/>
    <w:rsid w:val="00FB7921"/>
    <w:rsid w:val="00FB7B34"/>
    <w:rsid w:val="00FB7E92"/>
    <w:rsid w:val="00FB7F85"/>
    <w:rsid w:val="00FB7FB2"/>
    <w:rsid w:val="00FC000B"/>
    <w:rsid w:val="00FC0082"/>
    <w:rsid w:val="00FC05E1"/>
    <w:rsid w:val="00FC0714"/>
    <w:rsid w:val="00FC0DD0"/>
    <w:rsid w:val="00FC0DE1"/>
    <w:rsid w:val="00FC1147"/>
    <w:rsid w:val="00FC1148"/>
    <w:rsid w:val="00FC14D6"/>
    <w:rsid w:val="00FC1552"/>
    <w:rsid w:val="00FC15FB"/>
    <w:rsid w:val="00FC1612"/>
    <w:rsid w:val="00FC1762"/>
    <w:rsid w:val="00FC18AF"/>
    <w:rsid w:val="00FC1A21"/>
    <w:rsid w:val="00FC213C"/>
    <w:rsid w:val="00FC23B1"/>
    <w:rsid w:val="00FC294D"/>
    <w:rsid w:val="00FC297B"/>
    <w:rsid w:val="00FC2C39"/>
    <w:rsid w:val="00FC2DD7"/>
    <w:rsid w:val="00FC316A"/>
    <w:rsid w:val="00FC35ED"/>
    <w:rsid w:val="00FC3736"/>
    <w:rsid w:val="00FC390B"/>
    <w:rsid w:val="00FC39FC"/>
    <w:rsid w:val="00FC3E79"/>
    <w:rsid w:val="00FC4211"/>
    <w:rsid w:val="00FC4289"/>
    <w:rsid w:val="00FC4B70"/>
    <w:rsid w:val="00FC4D22"/>
    <w:rsid w:val="00FC4E94"/>
    <w:rsid w:val="00FC52CD"/>
    <w:rsid w:val="00FC53D9"/>
    <w:rsid w:val="00FC5B10"/>
    <w:rsid w:val="00FC609F"/>
    <w:rsid w:val="00FC6177"/>
    <w:rsid w:val="00FC639A"/>
    <w:rsid w:val="00FC6AD5"/>
    <w:rsid w:val="00FC6B05"/>
    <w:rsid w:val="00FC6B86"/>
    <w:rsid w:val="00FC70A9"/>
    <w:rsid w:val="00FC7119"/>
    <w:rsid w:val="00FC7523"/>
    <w:rsid w:val="00FD02DE"/>
    <w:rsid w:val="00FD0345"/>
    <w:rsid w:val="00FD03E9"/>
    <w:rsid w:val="00FD07D6"/>
    <w:rsid w:val="00FD0940"/>
    <w:rsid w:val="00FD0C64"/>
    <w:rsid w:val="00FD0DD3"/>
    <w:rsid w:val="00FD0EB1"/>
    <w:rsid w:val="00FD12AE"/>
    <w:rsid w:val="00FD133A"/>
    <w:rsid w:val="00FD13CD"/>
    <w:rsid w:val="00FD13E4"/>
    <w:rsid w:val="00FD18E6"/>
    <w:rsid w:val="00FD1A0F"/>
    <w:rsid w:val="00FD1A35"/>
    <w:rsid w:val="00FD1B49"/>
    <w:rsid w:val="00FD1C42"/>
    <w:rsid w:val="00FD1F37"/>
    <w:rsid w:val="00FD20AD"/>
    <w:rsid w:val="00FD20F2"/>
    <w:rsid w:val="00FD21AB"/>
    <w:rsid w:val="00FD21DA"/>
    <w:rsid w:val="00FD2478"/>
    <w:rsid w:val="00FD2696"/>
    <w:rsid w:val="00FD2991"/>
    <w:rsid w:val="00FD2D8B"/>
    <w:rsid w:val="00FD30AD"/>
    <w:rsid w:val="00FD3102"/>
    <w:rsid w:val="00FD32B9"/>
    <w:rsid w:val="00FD3448"/>
    <w:rsid w:val="00FD3678"/>
    <w:rsid w:val="00FD3C0D"/>
    <w:rsid w:val="00FD3EE3"/>
    <w:rsid w:val="00FD4143"/>
    <w:rsid w:val="00FD4285"/>
    <w:rsid w:val="00FD4339"/>
    <w:rsid w:val="00FD478F"/>
    <w:rsid w:val="00FD48C9"/>
    <w:rsid w:val="00FD48FE"/>
    <w:rsid w:val="00FD4A33"/>
    <w:rsid w:val="00FD4C0E"/>
    <w:rsid w:val="00FD4C61"/>
    <w:rsid w:val="00FD552D"/>
    <w:rsid w:val="00FD55BF"/>
    <w:rsid w:val="00FD56D5"/>
    <w:rsid w:val="00FD5BB7"/>
    <w:rsid w:val="00FD64DB"/>
    <w:rsid w:val="00FD6598"/>
    <w:rsid w:val="00FD661C"/>
    <w:rsid w:val="00FD687E"/>
    <w:rsid w:val="00FD69E8"/>
    <w:rsid w:val="00FD69E9"/>
    <w:rsid w:val="00FD6A1E"/>
    <w:rsid w:val="00FD6B83"/>
    <w:rsid w:val="00FD6BC1"/>
    <w:rsid w:val="00FD6F3B"/>
    <w:rsid w:val="00FD7075"/>
    <w:rsid w:val="00FD70D9"/>
    <w:rsid w:val="00FD70EF"/>
    <w:rsid w:val="00FD7388"/>
    <w:rsid w:val="00FD782D"/>
    <w:rsid w:val="00FD7C4E"/>
    <w:rsid w:val="00FE016C"/>
    <w:rsid w:val="00FE040C"/>
    <w:rsid w:val="00FE04D6"/>
    <w:rsid w:val="00FE0FC2"/>
    <w:rsid w:val="00FE1199"/>
    <w:rsid w:val="00FE132E"/>
    <w:rsid w:val="00FE150F"/>
    <w:rsid w:val="00FE1699"/>
    <w:rsid w:val="00FE17D2"/>
    <w:rsid w:val="00FE195D"/>
    <w:rsid w:val="00FE1C0B"/>
    <w:rsid w:val="00FE1F15"/>
    <w:rsid w:val="00FE1F6B"/>
    <w:rsid w:val="00FE232A"/>
    <w:rsid w:val="00FE2348"/>
    <w:rsid w:val="00FE2830"/>
    <w:rsid w:val="00FE2A3B"/>
    <w:rsid w:val="00FE3108"/>
    <w:rsid w:val="00FE31DA"/>
    <w:rsid w:val="00FE3C85"/>
    <w:rsid w:val="00FE3D4C"/>
    <w:rsid w:val="00FE3FEB"/>
    <w:rsid w:val="00FE482C"/>
    <w:rsid w:val="00FE48C4"/>
    <w:rsid w:val="00FE518F"/>
    <w:rsid w:val="00FE54B1"/>
    <w:rsid w:val="00FE55AF"/>
    <w:rsid w:val="00FE5AE0"/>
    <w:rsid w:val="00FE5E89"/>
    <w:rsid w:val="00FE5F63"/>
    <w:rsid w:val="00FE63CD"/>
    <w:rsid w:val="00FE65CB"/>
    <w:rsid w:val="00FE6C7A"/>
    <w:rsid w:val="00FE6E08"/>
    <w:rsid w:val="00FE6F63"/>
    <w:rsid w:val="00FE722C"/>
    <w:rsid w:val="00FE73E6"/>
    <w:rsid w:val="00FE742C"/>
    <w:rsid w:val="00FE7981"/>
    <w:rsid w:val="00FE7BAA"/>
    <w:rsid w:val="00FE7C0D"/>
    <w:rsid w:val="00FE7C1B"/>
    <w:rsid w:val="00FF0206"/>
    <w:rsid w:val="00FF02DF"/>
    <w:rsid w:val="00FF03BB"/>
    <w:rsid w:val="00FF04E2"/>
    <w:rsid w:val="00FF075C"/>
    <w:rsid w:val="00FF07D4"/>
    <w:rsid w:val="00FF085D"/>
    <w:rsid w:val="00FF0A4C"/>
    <w:rsid w:val="00FF0C5F"/>
    <w:rsid w:val="00FF1135"/>
    <w:rsid w:val="00FF1322"/>
    <w:rsid w:val="00FF1522"/>
    <w:rsid w:val="00FF1823"/>
    <w:rsid w:val="00FF184B"/>
    <w:rsid w:val="00FF23A1"/>
    <w:rsid w:val="00FF2820"/>
    <w:rsid w:val="00FF2A2C"/>
    <w:rsid w:val="00FF2D3D"/>
    <w:rsid w:val="00FF331D"/>
    <w:rsid w:val="00FF346F"/>
    <w:rsid w:val="00FF36D0"/>
    <w:rsid w:val="00FF3ACB"/>
    <w:rsid w:val="00FF3C81"/>
    <w:rsid w:val="00FF3DC4"/>
    <w:rsid w:val="00FF3E6C"/>
    <w:rsid w:val="00FF3F21"/>
    <w:rsid w:val="00FF4518"/>
    <w:rsid w:val="00FF4648"/>
    <w:rsid w:val="00FF46FF"/>
    <w:rsid w:val="00FF4D19"/>
    <w:rsid w:val="00FF4DA1"/>
    <w:rsid w:val="00FF4F74"/>
    <w:rsid w:val="00FF504F"/>
    <w:rsid w:val="00FF5343"/>
    <w:rsid w:val="00FF534F"/>
    <w:rsid w:val="00FF54B8"/>
    <w:rsid w:val="00FF566B"/>
    <w:rsid w:val="00FF575A"/>
    <w:rsid w:val="00FF58B9"/>
    <w:rsid w:val="00FF5FDB"/>
    <w:rsid w:val="00FF624D"/>
    <w:rsid w:val="00FF62A4"/>
    <w:rsid w:val="00FF64C5"/>
    <w:rsid w:val="00FF667D"/>
    <w:rsid w:val="00FF6B10"/>
    <w:rsid w:val="00FF6E30"/>
    <w:rsid w:val="00FF7065"/>
    <w:rsid w:val="00FF71A9"/>
    <w:rsid w:val="00FF7C85"/>
    <w:rsid w:val="00FF7CDC"/>
    <w:rsid w:val="010E9CB4"/>
    <w:rsid w:val="010F796E"/>
    <w:rsid w:val="0112935F"/>
    <w:rsid w:val="0121FBBA"/>
    <w:rsid w:val="012E8798"/>
    <w:rsid w:val="013366A3"/>
    <w:rsid w:val="0138E884"/>
    <w:rsid w:val="01491A38"/>
    <w:rsid w:val="014FEC04"/>
    <w:rsid w:val="015C5703"/>
    <w:rsid w:val="015EB836"/>
    <w:rsid w:val="01685B95"/>
    <w:rsid w:val="017686A2"/>
    <w:rsid w:val="01846092"/>
    <w:rsid w:val="01857926"/>
    <w:rsid w:val="018E5AB9"/>
    <w:rsid w:val="018E964E"/>
    <w:rsid w:val="019D9C60"/>
    <w:rsid w:val="01B2BF31"/>
    <w:rsid w:val="01DECF7D"/>
    <w:rsid w:val="01E285FD"/>
    <w:rsid w:val="01EC3B77"/>
    <w:rsid w:val="020E7CD7"/>
    <w:rsid w:val="021C33C9"/>
    <w:rsid w:val="022067DB"/>
    <w:rsid w:val="0221F981"/>
    <w:rsid w:val="0228A221"/>
    <w:rsid w:val="022E5E3E"/>
    <w:rsid w:val="02426422"/>
    <w:rsid w:val="024BFA0F"/>
    <w:rsid w:val="024D86A8"/>
    <w:rsid w:val="0256E9AF"/>
    <w:rsid w:val="025AA7C4"/>
    <w:rsid w:val="026908CA"/>
    <w:rsid w:val="026F1FCC"/>
    <w:rsid w:val="027979AF"/>
    <w:rsid w:val="0285985B"/>
    <w:rsid w:val="02A0574D"/>
    <w:rsid w:val="02A161C5"/>
    <w:rsid w:val="02A372DA"/>
    <w:rsid w:val="02A431E3"/>
    <w:rsid w:val="02B5B446"/>
    <w:rsid w:val="02B96795"/>
    <w:rsid w:val="02C02F21"/>
    <w:rsid w:val="02D1A3D9"/>
    <w:rsid w:val="02D6D3FC"/>
    <w:rsid w:val="02E21A2A"/>
    <w:rsid w:val="02EA381D"/>
    <w:rsid w:val="02FABD79"/>
    <w:rsid w:val="030761AD"/>
    <w:rsid w:val="030C3597"/>
    <w:rsid w:val="0319D4D5"/>
    <w:rsid w:val="033B8777"/>
    <w:rsid w:val="034EC8F9"/>
    <w:rsid w:val="0363CE91"/>
    <w:rsid w:val="036A12D7"/>
    <w:rsid w:val="037A5A0C"/>
    <w:rsid w:val="0382D918"/>
    <w:rsid w:val="038C824D"/>
    <w:rsid w:val="038E7E7B"/>
    <w:rsid w:val="038EC461"/>
    <w:rsid w:val="038ECDC0"/>
    <w:rsid w:val="039C2659"/>
    <w:rsid w:val="039E2B74"/>
    <w:rsid w:val="03A6465A"/>
    <w:rsid w:val="03B2BB44"/>
    <w:rsid w:val="03B3708C"/>
    <w:rsid w:val="03BA285A"/>
    <w:rsid w:val="03C1678C"/>
    <w:rsid w:val="03C5C27F"/>
    <w:rsid w:val="03D31341"/>
    <w:rsid w:val="03E9CEEC"/>
    <w:rsid w:val="03F8C3E5"/>
    <w:rsid w:val="04027CCA"/>
    <w:rsid w:val="040BC325"/>
    <w:rsid w:val="04149053"/>
    <w:rsid w:val="04209055"/>
    <w:rsid w:val="0426D34C"/>
    <w:rsid w:val="0435EFDC"/>
    <w:rsid w:val="043C4506"/>
    <w:rsid w:val="0442A09D"/>
    <w:rsid w:val="0442DC75"/>
    <w:rsid w:val="0445813F"/>
    <w:rsid w:val="0453270F"/>
    <w:rsid w:val="0459FCDB"/>
    <w:rsid w:val="045AEDE3"/>
    <w:rsid w:val="045CBDAA"/>
    <w:rsid w:val="04819077"/>
    <w:rsid w:val="04819E3A"/>
    <w:rsid w:val="04880B28"/>
    <w:rsid w:val="04A62143"/>
    <w:rsid w:val="04A9842C"/>
    <w:rsid w:val="04A988FE"/>
    <w:rsid w:val="04AAC3C5"/>
    <w:rsid w:val="04ABB4C7"/>
    <w:rsid w:val="04B20267"/>
    <w:rsid w:val="04BE1FA1"/>
    <w:rsid w:val="04BF4759"/>
    <w:rsid w:val="04BF76B9"/>
    <w:rsid w:val="04D1030B"/>
    <w:rsid w:val="04DD8835"/>
    <w:rsid w:val="04EB62D5"/>
    <w:rsid w:val="04EC31EA"/>
    <w:rsid w:val="04F481F4"/>
    <w:rsid w:val="0502548B"/>
    <w:rsid w:val="050F4B14"/>
    <w:rsid w:val="05104AE0"/>
    <w:rsid w:val="051D2406"/>
    <w:rsid w:val="05285B87"/>
    <w:rsid w:val="05378B5E"/>
    <w:rsid w:val="0547517A"/>
    <w:rsid w:val="054ADECA"/>
    <w:rsid w:val="054BD1A5"/>
    <w:rsid w:val="055325F3"/>
    <w:rsid w:val="055C605C"/>
    <w:rsid w:val="055CFF0D"/>
    <w:rsid w:val="056106A4"/>
    <w:rsid w:val="05704675"/>
    <w:rsid w:val="05822FB1"/>
    <w:rsid w:val="05845CC5"/>
    <w:rsid w:val="058FCB22"/>
    <w:rsid w:val="0595B5B3"/>
    <w:rsid w:val="05A0A2D2"/>
    <w:rsid w:val="05C11669"/>
    <w:rsid w:val="05DB24BA"/>
    <w:rsid w:val="05E6E904"/>
    <w:rsid w:val="05EC6A89"/>
    <w:rsid w:val="060372AE"/>
    <w:rsid w:val="0604E6C5"/>
    <w:rsid w:val="060715C0"/>
    <w:rsid w:val="060EF99C"/>
    <w:rsid w:val="061A59F7"/>
    <w:rsid w:val="061CFF88"/>
    <w:rsid w:val="06241CB7"/>
    <w:rsid w:val="0650B74E"/>
    <w:rsid w:val="06584BE8"/>
    <w:rsid w:val="065AE53F"/>
    <w:rsid w:val="06829AD9"/>
    <w:rsid w:val="068EE430"/>
    <w:rsid w:val="06A00367"/>
    <w:rsid w:val="06A24F15"/>
    <w:rsid w:val="06A7CD65"/>
    <w:rsid w:val="06AC69FB"/>
    <w:rsid w:val="06BBBFE8"/>
    <w:rsid w:val="06BF656F"/>
    <w:rsid w:val="06F73BD9"/>
    <w:rsid w:val="06F86015"/>
    <w:rsid w:val="06FA411E"/>
    <w:rsid w:val="07052A19"/>
    <w:rsid w:val="070538B0"/>
    <w:rsid w:val="070A9825"/>
    <w:rsid w:val="07106436"/>
    <w:rsid w:val="071E7443"/>
    <w:rsid w:val="072EC12F"/>
    <w:rsid w:val="073AF497"/>
    <w:rsid w:val="0767E9D3"/>
    <w:rsid w:val="076CB168"/>
    <w:rsid w:val="077B8DA1"/>
    <w:rsid w:val="0785730C"/>
    <w:rsid w:val="0794C336"/>
    <w:rsid w:val="079C24F3"/>
    <w:rsid w:val="079E75E4"/>
    <w:rsid w:val="07B63BFD"/>
    <w:rsid w:val="07BFFA0E"/>
    <w:rsid w:val="07C1B9B8"/>
    <w:rsid w:val="07DB1131"/>
    <w:rsid w:val="07DE8143"/>
    <w:rsid w:val="07F64BB1"/>
    <w:rsid w:val="07FB985E"/>
    <w:rsid w:val="08000FCB"/>
    <w:rsid w:val="080CC530"/>
    <w:rsid w:val="08201E27"/>
    <w:rsid w:val="0829BF70"/>
    <w:rsid w:val="082E529D"/>
    <w:rsid w:val="0846E340"/>
    <w:rsid w:val="085C17CB"/>
    <w:rsid w:val="085C8044"/>
    <w:rsid w:val="0860DCFA"/>
    <w:rsid w:val="08614106"/>
    <w:rsid w:val="08743024"/>
    <w:rsid w:val="0877BB72"/>
    <w:rsid w:val="08785D8D"/>
    <w:rsid w:val="088789DE"/>
    <w:rsid w:val="088F8AF7"/>
    <w:rsid w:val="08939D7A"/>
    <w:rsid w:val="0894D26E"/>
    <w:rsid w:val="08A60A0C"/>
    <w:rsid w:val="08B2A185"/>
    <w:rsid w:val="08B9B189"/>
    <w:rsid w:val="08BF81EF"/>
    <w:rsid w:val="08D6D439"/>
    <w:rsid w:val="08DB7621"/>
    <w:rsid w:val="08DC5AEC"/>
    <w:rsid w:val="08FFE3C7"/>
    <w:rsid w:val="090E0F9B"/>
    <w:rsid w:val="091A00B6"/>
    <w:rsid w:val="091B03EF"/>
    <w:rsid w:val="091D708A"/>
    <w:rsid w:val="09269464"/>
    <w:rsid w:val="09354107"/>
    <w:rsid w:val="0936C485"/>
    <w:rsid w:val="0954676B"/>
    <w:rsid w:val="095C9438"/>
    <w:rsid w:val="097A0FDA"/>
    <w:rsid w:val="097F5A27"/>
    <w:rsid w:val="09956423"/>
    <w:rsid w:val="09965C8E"/>
    <w:rsid w:val="09992C84"/>
    <w:rsid w:val="09B76B86"/>
    <w:rsid w:val="09D138C0"/>
    <w:rsid w:val="09D45EB5"/>
    <w:rsid w:val="09DE807E"/>
    <w:rsid w:val="09F390AE"/>
    <w:rsid w:val="09FE5BED"/>
    <w:rsid w:val="0A0D4EA9"/>
    <w:rsid w:val="0A1387F4"/>
    <w:rsid w:val="0A293273"/>
    <w:rsid w:val="0A2BD1AF"/>
    <w:rsid w:val="0A37AEDC"/>
    <w:rsid w:val="0A3B9064"/>
    <w:rsid w:val="0A3E972B"/>
    <w:rsid w:val="0A4390FA"/>
    <w:rsid w:val="0A469D9B"/>
    <w:rsid w:val="0A49D5E9"/>
    <w:rsid w:val="0A53B56B"/>
    <w:rsid w:val="0A5A865A"/>
    <w:rsid w:val="0A6A8C00"/>
    <w:rsid w:val="0A711B4C"/>
    <w:rsid w:val="0A7B67A6"/>
    <w:rsid w:val="0A82F0E4"/>
    <w:rsid w:val="0A8B1F97"/>
    <w:rsid w:val="0A8FF9F1"/>
    <w:rsid w:val="0A978911"/>
    <w:rsid w:val="0AB4F001"/>
    <w:rsid w:val="0ABBD4B6"/>
    <w:rsid w:val="0ACD84B1"/>
    <w:rsid w:val="0ACF5BED"/>
    <w:rsid w:val="0AD8D88E"/>
    <w:rsid w:val="0AD9D0C8"/>
    <w:rsid w:val="0AF0C925"/>
    <w:rsid w:val="0AF0CE91"/>
    <w:rsid w:val="0B182B91"/>
    <w:rsid w:val="0B1B333D"/>
    <w:rsid w:val="0B24CC9F"/>
    <w:rsid w:val="0B2EDE2E"/>
    <w:rsid w:val="0B33A15C"/>
    <w:rsid w:val="0B52E8BC"/>
    <w:rsid w:val="0B7A7FB9"/>
    <w:rsid w:val="0B7CAA0E"/>
    <w:rsid w:val="0B7FC29C"/>
    <w:rsid w:val="0B868945"/>
    <w:rsid w:val="0B9501DB"/>
    <w:rsid w:val="0BBA1DEB"/>
    <w:rsid w:val="0BC70356"/>
    <w:rsid w:val="0BCBD339"/>
    <w:rsid w:val="0BD4DA70"/>
    <w:rsid w:val="0BE229BD"/>
    <w:rsid w:val="0BE60A44"/>
    <w:rsid w:val="0BEE71F6"/>
    <w:rsid w:val="0BF082BE"/>
    <w:rsid w:val="0BF44658"/>
    <w:rsid w:val="0C1BAC80"/>
    <w:rsid w:val="0C2C462F"/>
    <w:rsid w:val="0C36BD9B"/>
    <w:rsid w:val="0C55C6DF"/>
    <w:rsid w:val="0C5DEA78"/>
    <w:rsid w:val="0C749D78"/>
    <w:rsid w:val="0C7B233E"/>
    <w:rsid w:val="0C9D4AB8"/>
    <w:rsid w:val="0CA6F4D9"/>
    <w:rsid w:val="0CB0E4D7"/>
    <w:rsid w:val="0CB35677"/>
    <w:rsid w:val="0CBB1BDE"/>
    <w:rsid w:val="0CC3D512"/>
    <w:rsid w:val="0CCD0509"/>
    <w:rsid w:val="0CCD3C79"/>
    <w:rsid w:val="0CCDE07A"/>
    <w:rsid w:val="0CF3E2A6"/>
    <w:rsid w:val="0D010866"/>
    <w:rsid w:val="0D04BB34"/>
    <w:rsid w:val="0D13AF55"/>
    <w:rsid w:val="0D1B5A55"/>
    <w:rsid w:val="0D2366DD"/>
    <w:rsid w:val="0D273FC6"/>
    <w:rsid w:val="0D2AC415"/>
    <w:rsid w:val="0D385095"/>
    <w:rsid w:val="0D3F23BD"/>
    <w:rsid w:val="0D477562"/>
    <w:rsid w:val="0D5E5862"/>
    <w:rsid w:val="0D60D5F5"/>
    <w:rsid w:val="0D6654A3"/>
    <w:rsid w:val="0D73B2A6"/>
    <w:rsid w:val="0D764609"/>
    <w:rsid w:val="0D8DA441"/>
    <w:rsid w:val="0D90A219"/>
    <w:rsid w:val="0D9CD459"/>
    <w:rsid w:val="0D9FA83F"/>
    <w:rsid w:val="0DA1EBD3"/>
    <w:rsid w:val="0DB2A264"/>
    <w:rsid w:val="0DD33B28"/>
    <w:rsid w:val="0DD4F66C"/>
    <w:rsid w:val="0DDB7800"/>
    <w:rsid w:val="0DE9AB79"/>
    <w:rsid w:val="0DF82D2A"/>
    <w:rsid w:val="0DFFE6B5"/>
    <w:rsid w:val="0E0C8690"/>
    <w:rsid w:val="0E2620A1"/>
    <w:rsid w:val="0E2D3A7F"/>
    <w:rsid w:val="0E304D56"/>
    <w:rsid w:val="0E330AE5"/>
    <w:rsid w:val="0E363534"/>
    <w:rsid w:val="0E3853B6"/>
    <w:rsid w:val="0E4CD7D3"/>
    <w:rsid w:val="0E4EA1A8"/>
    <w:rsid w:val="0E50C032"/>
    <w:rsid w:val="0E528A90"/>
    <w:rsid w:val="0E6A9BED"/>
    <w:rsid w:val="0E7A5A28"/>
    <w:rsid w:val="0E9A0011"/>
    <w:rsid w:val="0EA7F7BF"/>
    <w:rsid w:val="0EABA3AE"/>
    <w:rsid w:val="0EB67DE2"/>
    <w:rsid w:val="0EBDEF26"/>
    <w:rsid w:val="0ED99F34"/>
    <w:rsid w:val="0F005DA5"/>
    <w:rsid w:val="0F085241"/>
    <w:rsid w:val="0F10DD1B"/>
    <w:rsid w:val="0F17B9D3"/>
    <w:rsid w:val="0F1F38C2"/>
    <w:rsid w:val="0F284E19"/>
    <w:rsid w:val="0F2FBF33"/>
    <w:rsid w:val="0F3D247D"/>
    <w:rsid w:val="0F4E5460"/>
    <w:rsid w:val="0F5744ED"/>
    <w:rsid w:val="0F76947C"/>
    <w:rsid w:val="0F78388D"/>
    <w:rsid w:val="0F8C706F"/>
    <w:rsid w:val="0F96B8BF"/>
    <w:rsid w:val="0F99719C"/>
    <w:rsid w:val="0F9B395C"/>
    <w:rsid w:val="0FA3FE42"/>
    <w:rsid w:val="0FAA489D"/>
    <w:rsid w:val="0FB0A191"/>
    <w:rsid w:val="0FC03ECC"/>
    <w:rsid w:val="0FCB79CF"/>
    <w:rsid w:val="0FCCD9E0"/>
    <w:rsid w:val="0FCE9550"/>
    <w:rsid w:val="0FD82A78"/>
    <w:rsid w:val="0FDD6C42"/>
    <w:rsid w:val="0FE54ED4"/>
    <w:rsid w:val="0FEC4AD8"/>
    <w:rsid w:val="0FFF3E24"/>
    <w:rsid w:val="10070823"/>
    <w:rsid w:val="1007D2DC"/>
    <w:rsid w:val="1015652F"/>
    <w:rsid w:val="1019F59C"/>
    <w:rsid w:val="1025358A"/>
    <w:rsid w:val="102D06A9"/>
    <w:rsid w:val="1032A1E9"/>
    <w:rsid w:val="10486B48"/>
    <w:rsid w:val="10591882"/>
    <w:rsid w:val="105F0D52"/>
    <w:rsid w:val="106298C2"/>
    <w:rsid w:val="106A54E7"/>
    <w:rsid w:val="10758D66"/>
    <w:rsid w:val="1083DE88"/>
    <w:rsid w:val="108C5DDE"/>
    <w:rsid w:val="10A0F7BF"/>
    <w:rsid w:val="10ADE248"/>
    <w:rsid w:val="10AFAA43"/>
    <w:rsid w:val="10B61F7A"/>
    <w:rsid w:val="10B72730"/>
    <w:rsid w:val="10B9CD40"/>
    <w:rsid w:val="10C3A9F0"/>
    <w:rsid w:val="10C4D1B3"/>
    <w:rsid w:val="10C8F96B"/>
    <w:rsid w:val="10C9C159"/>
    <w:rsid w:val="10CBE7EC"/>
    <w:rsid w:val="10D972D7"/>
    <w:rsid w:val="10DB817A"/>
    <w:rsid w:val="10DBB8C8"/>
    <w:rsid w:val="10DEEA43"/>
    <w:rsid w:val="10EACEEF"/>
    <w:rsid w:val="10FC4C36"/>
    <w:rsid w:val="1109D8E3"/>
    <w:rsid w:val="110BB75B"/>
    <w:rsid w:val="11312140"/>
    <w:rsid w:val="1137CB34"/>
    <w:rsid w:val="113AE52A"/>
    <w:rsid w:val="115A62DA"/>
    <w:rsid w:val="1161F80C"/>
    <w:rsid w:val="11702C78"/>
    <w:rsid w:val="117D0F59"/>
    <w:rsid w:val="117D349A"/>
    <w:rsid w:val="1188E739"/>
    <w:rsid w:val="118E383B"/>
    <w:rsid w:val="118EB565"/>
    <w:rsid w:val="11945954"/>
    <w:rsid w:val="11A0159F"/>
    <w:rsid w:val="11AA2FC0"/>
    <w:rsid w:val="11ABF204"/>
    <w:rsid w:val="11B8F25A"/>
    <w:rsid w:val="11BA44D0"/>
    <w:rsid w:val="11C620F1"/>
    <w:rsid w:val="11CB00DC"/>
    <w:rsid w:val="11E212C7"/>
    <w:rsid w:val="120ED3EA"/>
    <w:rsid w:val="121A343D"/>
    <w:rsid w:val="1224CADB"/>
    <w:rsid w:val="1229DDEB"/>
    <w:rsid w:val="123B11EB"/>
    <w:rsid w:val="1240D8B4"/>
    <w:rsid w:val="1243902B"/>
    <w:rsid w:val="1245A044"/>
    <w:rsid w:val="124A20C8"/>
    <w:rsid w:val="126543AA"/>
    <w:rsid w:val="127F5EC5"/>
    <w:rsid w:val="1281E026"/>
    <w:rsid w:val="128688C0"/>
    <w:rsid w:val="1288ABA3"/>
    <w:rsid w:val="128F58FA"/>
    <w:rsid w:val="129E277F"/>
    <w:rsid w:val="12A77128"/>
    <w:rsid w:val="12B3DB01"/>
    <w:rsid w:val="12B5626A"/>
    <w:rsid w:val="12B572D9"/>
    <w:rsid w:val="12B891AB"/>
    <w:rsid w:val="12BF7CBE"/>
    <w:rsid w:val="12C13FA8"/>
    <w:rsid w:val="12C24701"/>
    <w:rsid w:val="12C62109"/>
    <w:rsid w:val="12C7BC4D"/>
    <w:rsid w:val="12D70E5E"/>
    <w:rsid w:val="12DB9C86"/>
    <w:rsid w:val="12E0CF1F"/>
    <w:rsid w:val="12F22E36"/>
    <w:rsid w:val="12F5DE6E"/>
    <w:rsid w:val="12FCA5BA"/>
    <w:rsid w:val="13083DAA"/>
    <w:rsid w:val="130D6EC4"/>
    <w:rsid w:val="130E72DE"/>
    <w:rsid w:val="1315B48E"/>
    <w:rsid w:val="13357D66"/>
    <w:rsid w:val="1338B03F"/>
    <w:rsid w:val="133CDAFE"/>
    <w:rsid w:val="134877FF"/>
    <w:rsid w:val="134B7D45"/>
    <w:rsid w:val="13531DEB"/>
    <w:rsid w:val="13599AE4"/>
    <w:rsid w:val="135E83C7"/>
    <w:rsid w:val="136064F0"/>
    <w:rsid w:val="1381C9F1"/>
    <w:rsid w:val="1396FD99"/>
    <w:rsid w:val="139CC5E4"/>
    <w:rsid w:val="139D04FF"/>
    <w:rsid w:val="13A7133F"/>
    <w:rsid w:val="13BF85A4"/>
    <w:rsid w:val="13C8ED69"/>
    <w:rsid w:val="13CD6044"/>
    <w:rsid w:val="13D50DA1"/>
    <w:rsid w:val="13DD6498"/>
    <w:rsid w:val="13EDE06B"/>
    <w:rsid w:val="13EF0F5B"/>
    <w:rsid w:val="13EF86EC"/>
    <w:rsid w:val="14016270"/>
    <w:rsid w:val="1407D3D8"/>
    <w:rsid w:val="140D5FCE"/>
    <w:rsid w:val="14115968"/>
    <w:rsid w:val="141368A6"/>
    <w:rsid w:val="1416E07C"/>
    <w:rsid w:val="14226A39"/>
    <w:rsid w:val="1428DE23"/>
    <w:rsid w:val="1430121C"/>
    <w:rsid w:val="1433A524"/>
    <w:rsid w:val="1435043D"/>
    <w:rsid w:val="143DA560"/>
    <w:rsid w:val="143EDF94"/>
    <w:rsid w:val="143FAEB4"/>
    <w:rsid w:val="1445CAFA"/>
    <w:rsid w:val="144C0766"/>
    <w:rsid w:val="146B4763"/>
    <w:rsid w:val="146FD455"/>
    <w:rsid w:val="147B96A8"/>
    <w:rsid w:val="147CA641"/>
    <w:rsid w:val="148D1377"/>
    <w:rsid w:val="14970976"/>
    <w:rsid w:val="149E100D"/>
    <w:rsid w:val="14A3090B"/>
    <w:rsid w:val="14A9135F"/>
    <w:rsid w:val="14B441FD"/>
    <w:rsid w:val="14B9BC56"/>
    <w:rsid w:val="14C27162"/>
    <w:rsid w:val="14D35CE4"/>
    <w:rsid w:val="14DE2494"/>
    <w:rsid w:val="14E8F03C"/>
    <w:rsid w:val="14EFE494"/>
    <w:rsid w:val="14EFED59"/>
    <w:rsid w:val="14F26B2A"/>
    <w:rsid w:val="14F451D9"/>
    <w:rsid w:val="14FF29BA"/>
    <w:rsid w:val="14FF6758"/>
    <w:rsid w:val="151BD50D"/>
    <w:rsid w:val="152AA526"/>
    <w:rsid w:val="152DCBFF"/>
    <w:rsid w:val="153E6F5E"/>
    <w:rsid w:val="15415CEC"/>
    <w:rsid w:val="15422DA8"/>
    <w:rsid w:val="15501B89"/>
    <w:rsid w:val="15598A99"/>
    <w:rsid w:val="1561B610"/>
    <w:rsid w:val="157B0ECE"/>
    <w:rsid w:val="157C45EA"/>
    <w:rsid w:val="1583EDA5"/>
    <w:rsid w:val="15853BD9"/>
    <w:rsid w:val="158826D1"/>
    <w:rsid w:val="158E8C69"/>
    <w:rsid w:val="159FEDA7"/>
    <w:rsid w:val="15BA3A4C"/>
    <w:rsid w:val="15BB7E5F"/>
    <w:rsid w:val="15C64D44"/>
    <w:rsid w:val="15C75BB3"/>
    <w:rsid w:val="15D6ACF0"/>
    <w:rsid w:val="15E71F4E"/>
    <w:rsid w:val="15F86380"/>
    <w:rsid w:val="16015AB9"/>
    <w:rsid w:val="1602A191"/>
    <w:rsid w:val="161017E8"/>
    <w:rsid w:val="16189435"/>
    <w:rsid w:val="161EB883"/>
    <w:rsid w:val="16201C05"/>
    <w:rsid w:val="16252712"/>
    <w:rsid w:val="16263109"/>
    <w:rsid w:val="162EE366"/>
    <w:rsid w:val="16333B1D"/>
    <w:rsid w:val="1642CB31"/>
    <w:rsid w:val="164EAF0F"/>
    <w:rsid w:val="16510844"/>
    <w:rsid w:val="16578A46"/>
    <w:rsid w:val="16669D42"/>
    <w:rsid w:val="167B06EF"/>
    <w:rsid w:val="167C28C1"/>
    <w:rsid w:val="168EEDF9"/>
    <w:rsid w:val="16916396"/>
    <w:rsid w:val="16930D5E"/>
    <w:rsid w:val="1695F6B5"/>
    <w:rsid w:val="16982477"/>
    <w:rsid w:val="169AAEDF"/>
    <w:rsid w:val="16A753CC"/>
    <w:rsid w:val="16AE9F63"/>
    <w:rsid w:val="16D261B9"/>
    <w:rsid w:val="16FDA0FF"/>
    <w:rsid w:val="16FFE392"/>
    <w:rsid w:val="1700B8E4"/>
    <w:rsid w:val="170B29FC"/>
    <w:rsid w:val="170B4B5E"/>
    <w:rsid w:val="171354CC"/>
    <w:rsid w:val="1718A121"/>
    <w:rsid w:val="171B3ADF"/>
    <w:rsid w:val="17268D4A"/>
    <w:rsid w:val="17288D98"/>
    <w:rsid w:val="1738DABC"/>
    <w:rsid w:val="173ADF18"/>
    <w:rsid w:val="173E589D"/>
    <w:rsid w:val="1749F922"/>
    <w:rsid w:val="1754A19D"/>
    <w:rsid w:val="175F51B1"/>
    <w:rsid w:val="176B348E"/>
    <w:rsid w:val="176D4804"/>
    <w:rsid w:val="17703102"/>
    <w:rsid w:val="177DC4DD"/>
    <w:rsid w:val="1789B0EC"/>
    <w:rsid w:val="178B8630"/>
    <w:rsid w:val="1790CF6C"/>
    <w:rsid w:val="1793DB17"/>
    <w:rsid w:val="179F94FA"/>
    <w:rsid w:val="17AD857E"/>
    <w:rsid w:val="17B6CC12"/>
    <w:rsid w:val="17B8BDF3"/>
    <w:rsid w:val="17C5F1DB"/>
    <w:rsid w:val="17CAE1A3"/>
    <w:rsid w:val="17CE8F36"/>
    <w:rsid w:val="17D722A8"/>
    <w:rsid w:val="17DCDFF8"/>
    <w:rsid w:val="17DEAB87"/>
    <w:rsid w:val="17E1F97C"/>
    <w:rsid w:val="17E4989F"/>
    <w:rsid w:val="17E9DCE8"/>
    <w:rsid w:val="17FB1D9B"/>
    <w:rsid w:val="18035316"/>
    <w:rsid w:val="181E06C6"/>
    <w:rsid w:val="182CDC54"/>
    <w:rsid w:val="18426616"/>
    <w:rsid w:val="184C711D"/>
    <w:rsid w:val="185180B9"/>
    <w:rsid w:val="185F71EE"/>
    <w:rsid w:val="1865298D"/>
    <w:rsid w:val="186D4820"/>
    <w:rsid w:val="18787310"/>
    <w:rsid w:val="187F7CD4"/>
    <w:rsid w:val="1882629D"/>
    <w:rsid w:val="188E6D92"/>
    <w:rsid w:val="1892949A"/>
    <w:rsid w:val="1898DB64"/>
    <w:rsid w:val="18AF50B0"/>
    <w:rsid w:val="18B11D8A"/>
    <w:rsid w:val="18BDD728"/>
    <w:rsid w:val="18D24D94"/>
    <w:rsid w:val="18EA2940"/>
    <w:rsid w:val="18EAE826"/>
    <w:rsid w:val="18EF5BA9"/>
    <w:rsid w:val="18F14AE5"/>
    <w:rsid w:val="18F684E5"/>
    <w:rsid w:val="1905455F"/>
    <w:rsid w:val="19076341"/>
    <w:rsid w:val="190F9207"/>
    <w:rsid w:val="1911BA65"/>
    <w:rsid w:val="19228C2F"/>
    <w:rsid w:val="19250888"/>
    <w:rsid w:val="192F37FE"/>
    <w:rsid w:val="19304972"/>
    <w:rsid w:val="1934421E"/>
    <w:rsid w:val="194C2C52"/>
    <w:rsid w:val="194F3E61"/>
    <w:rsid w:val="1956EF32"/>
    <w:rsid w:val="195B86AB"/>
    <w:rsid w:val="1963AFA6"/>
    <w:rsid w:val="19730A17"/>
    <w:rsid w:val="19766662"/>
    <w:rsid w:val="197B2508"/>
    <w:rsid w:val="1996D7AF"/>
    <w:rsid w:val="199C37F7"/>
    <w:rsid w:val="199C3C97"/>
    <w:rsid w:val="199F19E5"/>
    <w:rsid w:val="199F2B98"/>
    <w:rsid w:val="19A9A5B3"/>
    <w:rsid w:val="19AA91E9"/>
    <w:rsid w:val="19B080B8"/>
    <w:rsid w:val="19B74BA6"/>
    <w:rsid w:val="19BEBE3C"/>
    <w:rsid w:val="19C2905F"/>
    <w:rsid w:val="19C76030"/>
    <w:rsid w:val="19D120B3"/>
    <w:rsid w:val="19E67AE2"/>
    <w:rsid w:val="19EDD93F"/>
    <w:rsid w:val="19F61299"/>
    <w:rsid w:val="19FB827D"/>
    <w:rsid w:val="1A01F71C"/>
    <w:rsid w:val="1A16957B"/>
    <w:rsid w:val="1A1B4A5F"/>
    <w:rsid w:val="1A308B22"/>
    <w:rsid w:val="1A32A52E"/>
    <w:rsid w:val="1A3541C1"/>
    <w:rsid w:val="1A48A72E"/>
    <w:rsid w:val="1A4C11C5"/>
    <w:rsid w:val="1A5B4F36"/>
    <w:rsid w:val="1A5D85E9"/>
    <w:rsid w:val="1A649A8C"/>
    <w:rsid w:val="1A68F877"/>
    <w:rsid w:val="1A74A7A4"/>
    <w:rsid w:val="1A80EC0F"/>
    <w:rsid w:val="1A929027"/>
    <w:rsid w:val="1A9CD410"/>
    <w:rsid w:val="1AB1B748"/>
    <w:rsid w:val="1AB61EE6"/>
    <w:rsid w:val="1AB66632"/>
    <w:rsid w:val="1AC58A57"/>
    <w:rsid w:val="1ACF4E7C"/>
    <w:rsid w:val="1ACFB08E"/>
    <w:rsid w:val="1AE32EC0"/>
    <w:rsid w:val="1AF493D6"/>
    <w:rsid w:val="1AF68349"/>
    <w:rsid w:val="1B0001E9"/>
    <w:rsid w:val="1B12B00A"/>
    <w:rsid w:val="1B1A93FD"/>
    <w:rsid w:val="1B4166BA"/>
    <w:rsid w:val="1B5A41A3"/>
    <w:rsid w:val="1B641D4A"/>
    <w:rsid w:val="1B7D0483"/>
    <w:rsid w:val="1B816B0B"/>
    <w:rsid w:val="1B892EBF"/>
    <w:rsid w:val="1B9428CB"/>
    <w:rsid w:val="1B94C3FA"/>
    <w:rsid w:val="1B9AC73A"/>
    <w:rsid w:val="1BA53433"/>
    <w:rsid w:val="1BACCCF0"/>
    <w:rsid w:val="1BCAC5DE"/>
    <w:rsid w:val="1BD5D431"/>
    <w:rsid w:val="1BF40DEB"/>
    <w:rsid w:val="1BFDE587"/>
    <w:rsid w:val="1BFFAA0F"/>
    <w:rsid w:val="1C0D6637"/>
    <w:rsid w:val="1C0EC2C9"/>
    <w:rsid w:val="1C100F5E"/>
    <w:rsid w:val="1C134D75"/>
    <w:rsid w:val="1C17B287"/>
    <w:rsid w:val="1C1F831A"/>
    <w:rsid w:val="1C212D2E"/>
    <w:rsid w:val="1C284E4D"/>
    <w:rsid w:val="1C58B548"/>
    <w:rsid w:val="1C5FEC2A"/>
    <w:rsid w:val="1C662471"/>
    <w:rsid w:val="1C7E85E0"/>
    <w:rsid w:val="1C86E800"/>
    <w:rsid w:val="1C9C242B"/>
    <w:rsid w:val="1C9EC23F"/>
    <w:rsid w:val="1CA1B454"/>
    <w:rsid w:val="1CA6610F"/>
    <w:rsid w:val="1CA831DC"/>
    <w:rsid w:val="1CB158AC"/>
    <w:rsid w:val="1CC1AD2E"/>
    <w:rsid w:val="1CC8BD50"/>
    <w:rsid w:val="1CD9548A"/>
    <w:rsid w:val="1CFDFEE0"/>
    <w:rsid w:val="1CFE5E3C"/>
    <w:rsid w:val="1D13A0C0"/>
    <w:rsid w:val="1D28BCE7"/>
    <w:rsid w:val="1D2F577C"/>
    <w:rsid w:val="1D2FAEDF"/>
    <w:rsid w:val="1D315144"/>
    <w:rsid w:val="1D4D6D12"/>
    <w:rsid w:val="1D4D725E"/>
    <w:rsid w:val="1D509354"/>
    <w:rsid w:val="1D542427"/>
    <w:rsid w:val="1D54D8ED"/>
    <w:rsid w:val="1D5F23A7"/>
    <w:rsid w:val="1D60ED47"/>
    <w:rsid w:val="1D681606"/>
    <w:rsid w:val="1D7D970E"/>
    <w:rsid w:val="1DB96B4E"/>
    <w:rsid w:val="1DDAB34B"/>
    <w:rsid w:val="1DF770F0"/>
    <w:rsid w:val="1DFC94BC"/>
    <w:rsid w:val="1E029729"/>
    <w:rsid w:val="1E03D0EC"/>
    <w:rsid w:val="1E1D9014"/>
    <w:rsid w:val="1E23118E"/>
    <w:rsid w:val="1E441BEC"/>
    <w:rsid w:val="1E5DD315"/>
    <w:rsid w:val="1E707E4D"/>
    <w:rsid w:val="1E70A861"/>
    <w:rsid w:val="1E7288F1"/>
    <w:rsid w:val="1E749B46"/>
    <w:rsid w:val="1E750B84"/>
    <w:rsid w:val="1E760849"/>
    <w:rsid w:val="1E77FF20"/>
    <w:rsid w:val="1E919969"/>
    <w:rsid w:val="1EA26923"/>
    <w:rsid w:val="1EB832C0"/>
    <w:rsid w:val="1ED2D758"/>
    <w:rsid w:val="1EDA11AB"/>
    <w:rsid w:val="1EDE914F"/>
    <w:rsid w:val="1EE0985F"/>
    <w:rsid w:val="1EEB9771"/>
    <w:rsid w:val="1EEDEE12"/>
    <w:rsid w:val="1EF55F6C"/>
    <w:rsid w:val="1EFC9336"/>
    <w:rsid w:val="1EFD2344"/>
    <w:rsid w:val="1F13BC3C"/>
    <w:rsid w:val="1F17FA0C"/>
    <w:rsid w:val="1F1B7E9C"/>
    <w:rsid w:val="1F2528D5"/>
    <w:rsid w:val="1F285BCF"/>
    <w:rsid w:val="1F4C0CCB"/>
    <w:rsid w:val="1F5BFD66"/>
    <w:rsid w:val="1F5D478D"/>
    <w:rsid w:val="1F5E3F2A"/>
    <w:rsid w:val="1F67FB1A"/>
    <w:rsid w:val="1F68B069"/>
    <w:rsid w:val="1F73A4F4"/>
    <w:rsid w:val="1F82B84A"/>
    <w:rsid w:val="1F83ED75"/>
    <w:rsid w:val="1FA58B48"/>
    <w:rsid w:val="1FAC1167"/>
    <w:rsid w:val="1FB0267C"/>
    <w:rsid w:val="1FBFAF70"/>
    <w:rsid w:val="1FC0A0BB"/>
    <w:rsid w:val="1FC0C3F2"/>
    <w:rsid w:val="1FD8E373"/>
    <w:rsid w:val="1FDA54F6"/>
    <w:rsid w:val="1FE0192A"/>
    <w:rsid w:val="1FF11BE5"/>
    <w:rsid w:val="2004CB98"/>
    <w:rsid w:val="200C280B"/>
    <w:rsid w:val="2010173E"/>
    <w:rsid w:val="2011674A"/>
    <w:rsid w:val="2025E214"/>
    <w:rsid w:val="202AF383"/>
    <w:rsid w:val="20304220"/>
    <w:rsid w:val="20356945"/>
    <w:rsid w:val="2041E2C3"/>
    <w:rsid w:val="2052E7F9"/>
    <w:rsid w:val="2053A451"/>
    <w:rsid w:val="205A5A26"/>
    <w:rsid w:val="205A799D"/>
    <w:rsid w:val="205EE925"/>
    <w:rsid w:val="20641E40"/>
    <w:rsid w:val="20739E57"/>
    <w:rsid w:val="2082C084"/>
    <w:rsid w:val="208DF560"/>
    <w:rsid w:val="20939097"/>
    <w:rsid w:val="20A5702D"/>
    <w:rsid w:val="20AA7A47"/>
    <w:rsid w:val="20B2A9A0"/>
    <w:rsid w:val="20B95541"/>
    <w:rsid w:val="20C3C5CC"/>
    <w:rsid w:val="20C91056"/>
    <w:rsid w:val="20D2D7EA"/>
    <w:rsid w:val="20DEFB8C"/>
    <w:rsid w:val="20EAD71F"/>
    <w:rsid w:val="20FEAC77"/>
    <w:rsid w:val="210A76AC"/>
    <w:rsid w:val="211718E2"/>
    <w:rsid w:val="211ADC86"/>
    <w:rsid w:val="212E3AF5"/>
    <w:rsid w:val="21376778"/>
    <w:rsid w:val="213DA885"/>
    <w:rsid w:val="2141B7EC"/>
    <w:rsid w:val="2149D313"/>
    <w:rsid w:val="215948E3"/>
    <w:rsid w:val="215E6CAC"/>
    <w:rsid w:val="215F9EBE"/>
    <w:rsid w:val="2168DB98"/>
    <w:rsid w:val="216A8F99"/>
    <w:rsid w:val="217140DD"/>
    <w:rsid w:val="2184A636"/>
    <w:rsid w:val="218AC59C"/>
    <w:rsid w:val="219FFB83"/>
    <w:rsid w:val="21B25648"/>
    <w:rsid w:val="21B970AF"/>
    <w:rsid w:val="21BB4E3C"/>
    <w:rsid w:val="21BF05F8"/>
    <w:rsid w:val="21CE676F"/>
    <w:rsid w:val="21D0748C"/>
    <w:rsid w:val="21DA1338"/>
    <w:rsid w:val="21DFC989"/>
    <w:rsid w:val="21E44715"/>
    <w:rsid w:val="21EEEC90"/>
    <w:rsid w:val="21F35288"/>
    <w:rsid w:val="21FF300E"/>
    <w:rsid w:val="220867AC"/>
    <w:rsid w:val="220DC10F"/>
    <w:rsid w:val="22116082"/>
    <w:rsid w:val="22152EA9"/>
    <w:rsid w:val="221CA038"/>
    <w:rsid w:val="2232748D"/>
    <w:rsid w:val="2236E18A"/>
    <w:rsid w:val="2237A4E6"/>
    <w:rsid w:val="224AB07D"/>
    <w:rsid w:val="224B0A19"/>
    <w:rsid w:val="224B4743"/>
    <w:rsid w:val="225AB34B"/>
    <w:rsid w:val="22665DD8"/>
    <w:rsid w:val="22809605"/>
    <w:rsid w:val="22A2C490"/>
    <w:rsid w:val="22A8C1B7"/>
    <w:rsid w:val="22AA5CC5"/>
    <w:rsid w:val="22AB283E"/>
    <w:rsid w:val="22AD4224"/>
    <w:rsid w:val="22AE9730"/>
    <w:rsid w:val="22BC0FD8"/>
    <w:rsid w:val="22C9E491"/>
    <w:rsid w:val="22D38F31"/>
    <w:rsid w:val="22D6570D"/>
    <w:rsid w:val="22E6CF6D"/>
    <w:rsid w:val="22E8162A"/>
    <w:rsid w:val="22F2F964"/>
    <w:rsid w:val="22F80E39"/>
    <w:rsid w:val="2305D723"/>
    <w:rsid w:val="230EEABB"/>
    <w:rsid w:val="231AB41A"/>
    <w:rsid w:val="232AFA1B"/>
    <w:rsid w:val="232BB1AC"/>
    <w:rsid w:val="2339AC86"/>
    <w:rsid w:val="2342A1CB"/>
    <w:rsid w:val="2343378D"/>
    <w:rsid w:val="2345736C"/>
    <w:rsid w:val="2348E6C1"/>
    <w:rsid w:val="235578AC"/>
    <w:rsid w:val="236745C4"/>
    <w:rsid w:val="236794A9"/>
    <w:rsid w:val="237B9B7F"/>
    <w:rsid w:val="23833A92"/>
    <w:rsid w:val="23857569"/>
    <w:rsid w:val="2386FF8C"/>
    <w:rsid w:val="239641F5"/>
    <w:rsid w:val="23A1F6B4"/>
    <w:rsid w:val="23A41901"/>
    <w:rsid w:val="23B0116C"/>
    <w:rsid w:val="23B6B243"/>
    <w:rsid w:val="23CC3077"/>
    <w:rsid w:val="23D5FFDB"/>
    <w:rsid w:val="23D9AF76"/>
    <w:rsid w:val="23DFF11F"/>
    <w:rsid w:val="23E5D881"/>
    <w:rsid w:val="23E791CF"/>
    <w:rsid w:val="23F3FBCF"/>
    <w:rsid w:val="23F7EF91"/>
    <w:rsid w:val="23F803A7"/>
    <w:rsid w:val="23FA7AFB"/>
    <w:rsid w:val="244941AC"/>
    <w:rsid w:val="24562CDC"/>
    <w:rsid w:val="245F6F99"/>
    <w:rsid w:val="2467EF98"/>
    <w:rsid w:val="246A4542"/>
    <w:rsid w:val="246CF1A0"/>
    <w:rsid w:val="247A579E"/>
    <w:rsid w:val="247F7D9C"/>
    <w:rsid w:val="2485077B"/>
    <w:rsid w:val="24873745"/>
    <w:rsid w:val="24969508"/>
    <w:rsid w:val="249ADD15"/>
    <w:rsid w:val="249E2915"/>
    <w:rsid w:val="249F7CC5"/>
    <w:rsid w:val="24B4576D"/>
    <w:rsid w:val="24BE74AF"/>
    <w:rsid w:val="24C82695"/>
    <w:rsid w:val="24D800C4"/>
    <w:rsid w:val="24DB68F7"/>
    <w:rsid w:val="24EEB566"/>
    <w:rsid w:val="2501DA12"/>
    <w:rsid w:val="250226F9"/>
    <w:rsid w:val="2509CA5A"/>
    <w:rsid w:val="250E9BFF"/>
    <w:rsid w:val="251F3B3B"/>
    <w:rsid w:val="251F3E0F"/>
    <w:rsid w:val="253B1E80"/>
    <w:rsid w:val="25466954"/>
    <w:rsid w:val="254A3EE2"/>
    <w:rsid w:val="256C444F"/>
    <w:rsid w:val="2575A17C"/>
    <w:rsid w:val="25762BB8"/>
    <w:rsid w:val="257ACED9"/>
    <w:rsid w:val="25825A97"/>
    <w:rsid w:val="258A68B8"/>
    <w:rsid w:val="258CDE0D"/>
    <w:rsid w:val="259DE3E8"/>
    <w:rsid w:val="25B23FBF"/>
    <w:rsid w:val="25B9F350"/>
    <w:rsid w:val="25BAAFE5"/>
    <w:rsid w:val="25BEF1DA"/>
    <w:rsid w:val="25D38027"/>
    <w:rsid w:val="25E19A91"/>
    <w:rsid w:val="25F93B52"/>
    <w:rsid w:val="26001ACE"/>
    <w:rsid w:val="260123BA"/>
    <w:rsid w:val="261E675B"/>
    <w:rsid w:val="26306450"/>
    <w:rsid w:val="26309E04"/>
    <w:rsid w:val="26328BAB"/>
    <w:rsid w:val="2645752C"/>
    <w:rsid w:val="266C7502"/>
    <w:rsid w:val="267B4826"/>
    <w:rsid w:val="267D142E"/>
    <w:rsid w:val="2684987B"/>
    <w:rsid w:val="268EEA06"/>
    <w:rsid w:val="26A1149D"/>
    <w:rsid w:val="26C0DC2D"/>
    <w:rsid w:val="26C8876F"/>
    <w:rsid w:val="26CB3BEF"/>
    <w:rsid w:val="26E18D6E"/>
    <w:rsid w:val="26E3456B"/>
    <w:rsid w:val="26EC53AA"/>
    <w:rsid w:val="26EF5816"/>
    <w:rsid w:val="26F325B4"/>
    <w:rsid w:val="2701491A"/>
    <w:rsid w:val="2717D60B"/>
    <w:rsid w:val="271F7AAA"/>
    <w:rsid w:val="2724477E"/>
    <w:rsid w:val="2725439D"/>
    <w:rsid w:val="27287315"/>
    <w:rsid w:val="2751B24A"/>
    <w:rsid w:val="27807648"/>
    <w:rsid w:val="2780A0CC"/>
    <w:rsid w:val="278776B0"/>
    <w:rsid w:val="278F7229"/>
    <w:rsid w:val="2795D002"/>
    <w:rsid w:val="279B226A"/>
    <w:rsid w:val="279F8F78"/>
    <w:rsid w:val="27ABCBF1"/>
    <w:rsid w:val="27CC9534"/>
    <w:rsid w:val="27CF25CC"/>
    <w:rsid w:val="27DE439E"/>
    <w:rsid w:val="27F93CF2"/>
    <w:rsid w:val="281510B9"/>
    <w:rsid w:val="281712ED"/>
    <w:rsid w:val="281E031B"/>
    <w:rsid w:val="28259269"/>
    <w:rsid w:val="282644FB"/>
    <w:rsid w:val="282A9D1C"/>
    <w:rsid w:val="2830601E"/>
    <w:rsid w:val="284AE517"/>
    <w:rsid w:val="28560074"/>
    <w:rsid w:val="2861357D"/>
    <w:rsid w:val="286386BB"/>
    <w:rsid w:val="2870F63D"/>
    <w:rsid w:val="287698F3"/>
    <w:rsid w:val="28831E35"/>
    <w:rsid w:val="289E3945"/>
    <w:rsid w:val="28A967E7"/>
    <w:rsid w:val="28C31D20"/>
    <w:rsid w:val="28C35BC4"/>
    <w:rsid w:val="28D28ED9"/>
    <w:rsid w:val="28D4E3B4"/>
    <w:rsid w:val="28E5A512"/>
    <w:rsid w:val="28E983C1"/>
    <w:rsid w:val="29087CC4"/>
    <w:rsid w:val="290F319C"/>
    <w:rsid w:val="29125451"/>
    <w:rsid w:val="2922EC95"/>
    <w:rsid w:val="292F76A8"/>
    <w:rsid w:val="2933C07F"/>
    <w:rsid w:val="29468276"/>
    <w:rsid w:val="2947CE71"/>
    <w:rsid w:val="294A63FA"/>
    <w:rsid w:val="294CCFAE"/>
    <w:rsid w:val="294F54B0"/>
    <w:rsid w:val="295F3196"/>
    <w:rsid w:val="296060D7"/>
    <w:rsid w:val="2978FE38"/>
    <w:rsid w:val="2980049F"/>
    <w:rsid w:val="29844DB1"/>
    <w:rsid w:val="298A6197"/>
    <w:rsid w:val="299878BC"/>
    <w:rsid w:val="29B498D0"/>
    <w:rsid w:val="29BF3752"/>
    <w:rsid w:val="29D36515"/>
    <w:rsid w:val="29D7B532"/>
    <w:rsid w:val="29E25358"/>
    <w:rsid w:val="29FC0FBA"/>
    <w:rsid w:val="2A016AFE"/>
    <w:rsid w:val="2A1D7D16"/>
    <w:rsid w:val="2A1DC8A2"/>
    <w:rsid w:val="2A23AA15"/>
    <w:rsid w:val="2A3E3290"/>
    <w:rsid w:val="2A46F6FB"/>
    <w:rsid w:val="2A63DE90"/>
    <w:rsid w:val="2A71787E"/>
    <w:rsid w:val="2A816EAE"/>
    <w:rsid w:val="2AA76741"/>
    <w:rsid w:val="2AB0BF5F"/>
    <w:rsid w:val="2AB192CC"/>
    <w:rsid w:val="2ABC1144"/>
    <w:rsid w:val="2ABD169A"/>
    <w:rsid w:val="2AC11E97"/>
    <w:rsid w:val="2AEA029B"/>
    <w:rsid w:val="2AEFE281"/>
    <w:rsid w:val="2AF5EA45"/>
    <w:rsid w:val="2AFCCE0A"/>
    <w:rsid w:val="2B0CBA83"/>
    <w:rsid w:val="2B0F4FDF"/>
    <w:rsid w:val="2B11C78E"/>
    <w:rsid w:val="2B12A65B"/>
    <w:rsid w:val="2B1FC80D"/>
    <w:rsid w:val="2B2FA0E3"/>
    <w:rsid w:val="2B3C2FD2"/>
    <w:rsid w:val="2B3D4071"/>
    <w:rsid w:val="2B419619"/>
    <w:rsid w:val="2B4E2EE7"/>
    <w:rsid w:val="2B527B3D"/>
    <w:rsid w:val="2B549600"/>
    <w:rsid w:val="2B5A7AA1"/>
    <w:rsid w:val="2B5E82BB"/>
    <w:rsid w:val="2B73F73B"/>
    <w:rsid w:val="2B808EDC"/>
    <w:rsid w:val="2B8621A8"/>
    <w:rsid w:val="2B8C9363"/>
    <w:rsid w:val="2B9B0884"/>
    <w:rsid w:val="2BB4326C"/>
    <w:rsid w:val="2BDC1DAA"/>
    <w:rsid w:val="2BEABE1B"/>
    <w:rsid w:val="2BEFC0BC"/>
    <w:rsid w:val="2BF5F364"/>
    <w:rsid w:val="2BFC7730"/>
    <w:rsid w:val="2C049722"/>
    <w:rsid w:val="2C174B68"/>
    <w:rsid w:val="2C19A8A3"/>
    <w:rsid w:val="2C1D533A"/>
    <w:rsid w:val="2C201D44"/>
    <w:rsid w:val="2C27D775"/>
    <w:rsid w:val="2C29E6F8"/>
    <w:rsid w:val="2C2F9841"/>
    <w:rsid w:val="2C361E70"/>
    <w:rsid w:val="2C39EE7D"/>
    <w:rsid w:val="2C3EA0B4"/>
    <w:rsid w:val="2C499A0E"/>
    <w:rsid w:val="2C4AEEC4"/>
    <w:rsid w:val="2C4C6734"/>
    <w:rsid w:val="2C539873"/>
    <w:rsid w:val="2C6E8441"/>
    <w:rsid w:val="2C6F2055"/>
    <w:rsid w:val="2C6F75D1"/>
    <w:rsid w:val="2C7D883F"/>
    <w:rsid w:val="2C86F31D"/>
    <w:rsid w:val="2C89A53D"/>
    <w:rsid w:val="2C8A4D60"/>
    <w:rsid w:val="2C906963"/>
    <w:rsid w:val="2C90DDF3"/>
    <w:rsid w:val="2C9A66F3"/>
    <w:rsid w:val="2CB2BC17"/>
    <w:rsid w:val="2CCAE4D4"/>
    <w:rsid w:val="2CCCBFFA"/>
    <w:rsid w:val="2CCD3A03"/>
    <w:rsid w:val="2CD2DD18"/>
    <w:rsid w:val="2CD70508"/>
    <w:rsid w:val="2CDA76B4"/>
    <w:rsid w:val="2CDAF899"/>
    <w:rsid w:val="2CE04E4C"/>
    <w:rsid w:val="2CE1D90D"/>
    <w:rsid w:val="2CE9FBF4"/>
    <w:rsid w:val="2CEE92BC"/>
    <w:rsid w:val="2CEFD62E"/>
    <w:rsid w:val="2CFB1324"/>
    <w:rsid w:val="2D15BC7E"/>
    <w:rsid w:val="2D28E593"/>
    <w:rsid w:val="2D36220D"/>
    <w:rsid w:val="2D45BDB4"/>
    <w:rsid w:val="2D531DD0"/>
    <w:rsid w:val="2D546F1F"/>
    <w:rsid w:val="2D54D6CC"/>
    <w:rsid w:val="2D62C989"/>
    <w:rsid w:val="2D67DFF5"/>
    <w:rsid w:val="2D6A404F"/>
    <w:rsid w:val="2D6C8168"/>
    <w:rsid w:val="2D808ADE"/>
    <w:rsid w:val="2D84EC60"/>
    <w:rsid w:val="2D85FB73"/>
    <w:rsid w:val="2D93E771"/>
    <w:rsid w:val="2D9518CD"/>
    <w:rsid w:val="2D9922A1"/>
    <w:rsid w:val="2D9FC692"/>
    <w:rsid w:val="2DA2F7A8"/>
    <w:rsid w:val="2DB7BD32"/>
    <w:rsid w:val="2DE13A53"/>
    <w:rsid w:val="2DE27B47"/>
    <w:rsid w:val="2DE3E5CD"/>
    <w:rsid w:val="2DED41B4"/>
    <w:rsid w:val="2DF1A72A"/>
    <w:rsid w:val="2DF381D5"/>
    <w:rsid w:val="2DF3A3F1"/>
    <w:rsid w:val="2DF854E3"/>
    <w:rsid w:val="2DFF08FC"/>
    <w:rsid w:val="2E00E9AD"/>
    <w:rsid w:val="2E09DB25"/>
    <w:rsid w:val="2E0A42D0"/>
    <w:rsid w:val="2E100457"/>
    <w:rsid w:val="2E10FA33"/>
    <w:rsid w:val="2E184B69"/>
    <w:rsid w:val="2E24F175"/>
    <w:rsid w:val="2E2A4198"/>
    <w:rsid w:val="2E3CD9FB"/>
    <w:rsid w:val="2E4B7312"/>
    <w:rsid w:val="2E509B97"/>
    <w:rsid w:val="2E5DAE5E"/>
    <w:rsid w:val="2E603B8D"/>
    <w:rsid w:val="2E60D305"/>
    <w:rsid w:val="2E635AFE"/>
    <w:rsid w:val="2E6B29E0"/>
    <w:rsid w:val="2E793B93"/>
    <w:rsid w:val="2EB18A3F"/>
    <w:rsid w:val="2EB322CE"/>
    <w:rsid w:val="2EB56C02"/>
    <w:rsid w:val="2EB9D8BE"/>
    <w:rsid w:val="2EBED835"/>
    <w:rsid w:val="2ECC1C3D"/>
    <w:rsid w:val="2ECCBC8E"/>
    <w:rsid w:val="2ED1CCA9"/>
    <w:rsid w:val="2ED890C2"/>
    <w:rsid w:val="2EE00426"/>
    <w:rsid w:val="2EE410A3"/>
    <w:rsid w:val="2F101D49"/>
    <w:rsid w:val="2F16D2F0"/>
    <w:rsid w:val="2F1760E9"/>
    <w:rsid w:val="2F19FB26"/>
    <w:rsid w:val="2F1AB3B9"/>
    <w:rsid w:val="2F1BE62B"/>
    <w:rsid w:val="2F2152DA"/>
    <w:rsid w:val="2F2EEA03"/>
    <w:rsid w:val="2F31147B"/>
    <w:rsid w:val="2F34E80E"/>
    <w:rsid w:val="2F4EE1DA"/>
    <w:rsid w:val="2F566239"/>
    <w:rsid w:val="2F56A0DD"/>
    <w:rsid w:val="2F59E11B"/>
    <w:rsid w:val="2F5B11D3"/>
    <w:rsid w:val="2F64FDC6"/>
    <w:rsid w:val="2F65F938"/>
    <w:rsid w:val="2F75B44F"/>
    <w:rsid w:val="2F777681"/>
    <w:rsid w:val="2F92EAF5"/>
    <w:rsid w:val="2F93F842"/>
    <w:rsid w:val="2F96241C"/>
    <w:rsid w:val="2F9E6EEA"/>
    <w:rsid w:val="2FABD2C9"/>
    <w:rsid w:val="2FB53B48"/>
    <w:rsid w:val="2FC38878"/>
    <w:rsid w:val="2FC43679"/>
    <w:rsid w:val="2FC439F4"/>
    <w:rsid w:val="2FCEF10E"/>
    <w:rsid w:val="2FCFC85B"/>
    <w:rsid w:val="2FD787D7"/>
    <w:rsid w:val="2FD98DED"/>
    <w:rsid w:val="2FE957A6"/>
    <w:rsid w:val="2FEF805D"/>
    <w:rsid w:val="2FF4036D"/>
    <w:rsid w:val="2FF6BC0F"/>
    <w:rsid w:val="2FF74C9A"/>
    <w:rsid w:val="2FF89AEF"/>
    <w:rsid w:val="30036F5D"/>
    <w:rsid w:val="3006B486"/>
    <w:rsid w:val="300C99CC"/>
    <w:rsid w:val="301AFF1E"/>
    <w:rsid w:val="302F2D18"/>
    <w:rsid w:val="303A8844"/>
    <w:rsid w:val="3041BE30"/>
    <w:rsid w:val="304E43C0"/>
    <w:rsid w:val="304F4957"/>
    <w:rsid w:val="305AC365"/>
    <w:rsid w:val="305CDFFA"/>
    <w:rsid w:val="305FAA81"/>
    <w:rsid w:val="3063FE8A"/>
    <w:rsid w:val="30657D2D"/>
    <w:rsid w:val="306ABD48"/>
    <w:rsid w:val="3091CC2D"/>
    <w:rsid w:val="30A0411F"/>
    <w:rsid w:val="30AD5CF7"/>
    <w:rsid w:val="30AF07AF"/>
    <w:rsid w:val="30B03768"/>
    <w:rsid w:val="30B5938A"/>
    <w:rsid w:val="30C2B140"/>
    <w:rsid w:val="30C4592A"/>
    <w:rsid w:val="30C913B8"/>
    <w:rsid w:val="30CC5AB3"/>
    <w:rsid w:val="30E41C33"/>
    <w:rsid w:val="30E7A5CA"/>
    <w:rsid w:val="30EB4E74"/>
    <w:rsid w:val="30ECA40B"/>
    <w:rsid w:val="30F312B5"/>
    <w:rsid w:val="310319F9"/>
    <w:rsid w:val="31082809"/>
    <w:rsid w:val="31269378"/>
    <w:rsid w:val="312BD7CE"/>
    <w:rsid w:val="312FC8A3"/>
    <w:rsid w:val="313A9F49"/>
    <w:rsid w:val="313C2157"/>
    <w:rsid w:val="313EC9ED"/>
    <w:rsid w:val="313FB7A5"/>
    <w:rsid w:val="31435EB6"/>
    <w:rsid w:val="3158D84A"/>
    <w:rsid w:val="316454D5"/>
    <w:rsid w:val="316E6FA2"/>
    <w:rsid w:val="3170F439"/>
    <w:rsid w:val="317DBF20"/>
    <w:rsid w:val="317F5B38"/>
    <w:rsid w:val="318578C0"/>
    <w:rsid w:val="3185EFF7"/>
    <w:rsid w:val="318A8E85"/>
    <w:rsid w:val="318C0627"/>
    <w:rsid w:val="318DD9BE"/>
    <w:rsid w:val="319600B7"/>
    <w:rsid w:val="3197E749"/>
    <w:rsid w:val="319AE015"/>
    <w:rsid w:val="31B5B6A9"/>
    <w:rsid w:val="31B8DE29"/>
    <w:rsid w:val="31C1B597"/>
    <w:rsid w:val="31D09442"/>
    <w:rsid w:val="31D43BF5"/>
    <w:rsid w:val="31D64CD8"/>
    <w:rsid w:val="31E3B06F"/>
    <w:rsid w:val="31E70B53"/>
    <w:rsid w:val="31E8C210"/>
    <w:rsid w:val="31FB4E99"/>
    <w:rsid w:val="31FB6529"/>
    <w:rsid w:val="31FDB328"/>
    <w:rsid w:val="31FE27ED"/>
    <w:rsid w:val="32025039"/>
    <w:rsid w:val="320DDF65"/>
    <w:rsid w:val="320E4625"/>
    <w:rsid w:val="32187122"/>
    <w:rsid w:val="321FCC94"/>
    <w:rsid w:val="322188A7"/>
    <w:rsid w:val="3222BE91"/>
    <w:rsid w:val="3234DB8B"/>
    <w:rsid w:val="323DA24A"/>
    <w:rsid w:val="323E89C0"/>
    <w:rsid w:val="324C12AC"/>
    <w:rsid w:val="32558DBA"/>
    <w:rsid w:val="325CDF2C"/>
    <w:rsid w:val="328C07D7"/>
    <w:rsid w:val="3296BF57"/>
    <w:rsid w:val="32999FAD"/>
    <w:rsid w:val="32A21C37"/>
    <w:rsid w:val="32A5E7F3"/>
    <w:rsid w:val="32A936C7"/>
    <w:rsid w:val="32AD9CF6"/>
    <w:rsid w:val="32BFA732"/>
    <w:rsid w:val="32C12980"/>
    <w:rsid w:val="32C70EB9"/>
    <w:rsid w:val="32CA4E1E"/>
    <w:rsid w:val="32CB3516"/>
    <w:rsid w:val="32D00AB9"/>
    <w:rsid w:val="32D107F7"/>
    <w:rsid w:val="32DB4702"/>
    <w:rsid w:val="32DE12B7"/>
    <w:rsid w:val="32DFF8E5"/>
    <w:rsid w:val="32F0D934"/>
    <w:rsid w:val="32F46F3E"/>
    <w:rsid w:val="3308E8F7"/>
    <w:rsid w:val="3312A066"/>
    <w:rsid w:val="3321ABEE"/>
    <w:rsid w:val="3323D9D2"/>
    <w:rsid w:val="332DB7D6"/>
    <w:rsid w:val="333133B1"/>
    <w:rsid w:val="3332BB67"/>
    <w:rsid w:val="333C7B87"/>
    <w:rsid w:val="3343C2A9"/>
    <w:rsid w:val="3343D6B7"/>
    <w:rsid w:val="335674A0"/>
    <w:rsid w:val="33571CD4"/>
    <w:rsid w:val="335E0F88"/>
    <w:rsid w:val="3360A172"/>
    <w:rsid w:val="3366B6E9"/>
    <w:rsid w:val="338E931C"/>
    <w:rsid w:val="33A472FA"/>
    <w:rsid w:val="33AC5FB7"/>
    <w:rsid w:val="33C5E300"/>
    <w:rsid w:val="33C7731C"/>
    <w:rsid w:val="33CFAE53"/>
    <w:rsid w:val="33DF687C"/>
    <w:rsid w:val="33F6B98A"/>
    <w:rsid w:val="340210A7"/>
    <w:rsid w:val="3404EACF"/>
    <w:rsid w:val="3406B5FD"/>
    <w:rsid w:val="340C0B28"/>
    <w:rsid w:val="3411BD7B"/>
    <w:rsid w:val="34144011"/>
    <w:rsid w:val="34183B03"/>
    <w:rsid w:val="34187127"/>
    <w:rsid w:val="34193CE5"/>
    <w:rsid w:val="341CB0BA"/>
    <w:rsid w:val="341F1B04"/>
    <w:rsid w:val="341FF1B6"/>
    <w:rsid w:val="3422F7AB"/>
    <w:rsid w:val="342C60B7"/>
    <w:rsid w:val="34323024"/>
    <w:rsid w:val="34488A24"/>
    <w:rsid w:val="34696890"/>
    <w:rsid w:val="346D7379"/>
    <w:rsid w:val="34796A36"/>
    <w:rsid w:val="347F953A"/>
    <w:rsid w:val="348D270B"/>
    <w:rsid w:val="3494696A"/>
    <w:rsid w:val="34A368AA"/>
    <w:rsid w:val="34ABDA8F"/>
    <w:rsid w:val="34BB270D"/>
    <w:rsid w:val="34BD0AC1"/>
    <w:rsid w:val="34C88C1E"/>
    <w:rsid w:val="34CE582A"/>
    <w:rsid w:val="34D6D889"/>
    <w:rsid w:val="34DF71D4"/>
    <w:rsid w:val="34F4C81B"/>
    <w:rsid w:val="34FD20BF"/>
    <w:rsid w:val="34FD59F3"/>
    <w:rsid w:val="3513465C"/>
    <w:rsid w:val="351610FD"/>
    <w:rsid w:val="351ABEF7"/>
    <w:rsid w:val="351D6ED1"/>
    <w:rsid w:val="3546260B"/>
    <w:rsid w:val="3548C18E"/>
    <w:rsid w:val="354D4E18"/>
    <w:rsid w:val="354ED182"/>
    <w:rsid w:val="3553AFDB"/>
    <w:rsid w:val="35550A09"/>
    <w:rsid w:val="3555E577"/>
    <w:rsid w:val="355F38C3"/>
    <w:rsid w:val="357FEEA1"/>
    <w:rsid w:val="358B4548"/>
    <w:rsid w:val="35A4F04D"/>
    <w:rsid w:val="35AACC37"/>
    <w:rsid w:val="35B557F9"/>
    <w:rsid w:val="35BFB2D1"/>
    <w:rsid w:val="35BFF8E3"/>
    <w:rsid w:val="35C20169"/>
    <w:rsid w:val="35C2C782"/>
    <w:rsid w:val="35C410E5"/>
    <w:rsid w:val="35CA80AB"/>
    <w:rsid w:val="35CDC09D"/>
    <w:rsid w:val="35CF3F4F"/>
    <w:rsid w:val="35E111B4"/>
    <w:rsid w:val="35F12FDA"/>
    <w:rsid w:val="35FC5073"/>
    <w:rsid w:val="35FE3EBE"/>
    <w:rsid w:val="360A63E7"/>
    <w:rsid w:val="3613EC19"/>
    <w:rsid w:val="3624377E"/>
    <w:rsid w:val="36387AE3"/>
    <w:rsid w:val="363B52F8"/>
    <w:rsid w:val="363CBD22"/>
    <w:rsid w:val="36435FFD"/>
    <w:rsid w:val="36458D2C"/>
    <w:rsid w:val="3648D9D6"/>
    <w:rsid w:val="364D88CE"/>
    <w:rsid w:val="365B0F83"/>
    <w:rsid w:val="36681B62"/>
    <w:rsid w:val="3680E082"/>
    <w:rsid w:val="36875130"/>
    <w:rsid w:val="3692A54D"/>
    <w:rsid w:val="369CB26F"/>
    <w:rsid w:val="369FA102"/>
    <w:rsid w:val="36BC0BF5"/>
    <w:rsid w:val="36C9CAFC"/>
    <w:rsid w:val="36CC7BA7"/>
    <w:rsid w:val="36DFE557"/>
    <w:rsid w:val="36E2A77D"/>
    <w:rsid w:val="36F4783A"/>
    <w:rsid w:val="36F999A8"/>
    <w:rsid w:val="373CEE92"/>
    <w:rsid w:val="37479D7B"/>
    <w:rsid w:val="37528B54"/>
    <w:rsid w:val="37582CEF"/>
    <w:rsid w:val="375F3BC2"/>
    <w:rsid w:val="3774227A"/>
    <w:rsid w:val="377EBAF0"/>
    <w:rsid w:val="3782A510"/>
    <w:rsid w:val="37842794"/>
    <w:rsid w:val="37987347"/>
    <w:rsid w:val="37A19423"/>
    <w:rsid w:val="37A22F3A"/>
    <w:rsid w:val="37A25DE9"/>
    <w:rsid w:val="37C07628"/>
    <w:rsid w:val="37CF2001"/>
    <w:rsid w:val="37D6B122"/>
    <w:rsid w:val="37DF0CC0"/>
    <w:rsid w:val="37F5C93A"/>
    <w:rsid w:val="37FD42A8"/>
    <w:rsid w:val="37FFC779"/>
    <w:rsid w:val="38003879"/>
    <w:rsid w:val="38023EAC"/>
    <w:rsid w:val="380F3288"/>
    <w:rsid w:val="38120C26"/>
    <w:rsid w:val="38178F86"/>
    <w:rsid w:val="3831B961"/>
    <w:rsid w:val="38477D37"/>
    <w:rsid w:val="385291B1"/>
    <w:rsid w:val="3858F97B"/>
    <w:rsid w:val="385E30EA"/>
    <w:rsid w:val="38608415"/>
    <w:rsid w:val="3863EDB9"/>
    <w:rsid w:val="388B608A"/>
    <w:rsid w:val="38950F76"/>
    <w:rsid w:val="389D0E24"/>
    <w:rsid w:val="38A81DE9"/>
    <w:rsid w:val="38A95686"/>
    <w:rsid w:val="38B31177"/>
    <w:rsid w:val="38B9B36C"/>
    <w:rsid w:val="38BA0F12"/>
    <w:rsid w:val="38C0AFC9"/>
    <w:rsid w:val="38C5CA20"/>
    <w:rsid w:val="38C6829E"/>
    <w:rsid w:val="38E0E579"/>
    <w:rsid w:val="38E4E800"/>
    <w:rsid w:val="38E98DA9"/>
    <w:rsid w:val="38F72209"/>
    <w:rsid w:val="38F8DF10"/>
    <w:rsid w:val="38F9D9B3"/>
    <w:rsid w:val="39018931"/>
    <w:rsid w:val="39194EEB"/>
    <w:rsid w:val="39256BC8"/>
    <w:rsid w:val="39374092"/>
    <w:rsid w:val="393D02D1"/>
    <w:rsid w:val="393D23C8"/>
    <w:rsid w:val="39484663"/>
    <w:rsid w:val="394C60AC"/>
    <w:rsid w:val="395205E3"/>
    <w:rsid w:val="395C1857"/>
    <w:rsid w:val="396910F8"/>
    <w:rsid w:val="396B171E"/>
    <w:rsid w:val="397E4899"/>
    <w:rsid w:val="3980A9F1"/>
    <w:rsid w:val="3982676B"/>
    <w:rsid w:val="3987DF6B"/>
    <w:rsid w:val="3989ADAB"/>
    <w:rsid w:val="3995CB96"/>
    <w:rsid w:val="399FBB97"/>
    <w:rsid w:val="39AA2B45"/>
    <w:rsid w:val="39B4A079"/>
    <w:rsid w:val="39BA571A"/>
    <w:rsid w:val="39C2A9CA"/>
    <w:rsid w:val="39D4975F"/>
    <w:rsid w:val="39D5BBB4"/>
    <w:rsid w:val="39DA3911"/>
    <w:rsid w:val="39DF736F"/>
    <w:rsid w:val="39E82709"/>
    <w:rsid w:val="39FD562D"/>
    <w:rsid w:val="3A053617"/>
    <w:rsid w:val="3A11E67A"/>
    <w:rsid w:val="3A319F16"/>
    <w:rsid w:val="3A4213C1"/>
    <w:rsid w:val="3A4CB7C5"/>
    <w:rsid w:val="3A52EA58"/>
    <w:rsid w:val="3A54A69F"/>
    <w:rsid w:val="3A5F8DD4"/>
    <w:rsid w:val="3A611DF0"/>
    <w:rsid w:val="3A68327A"/>
    <w:rsid w:val="3A6E55AF"/>
    <w:rsid w:val="3A70A746"/>
    <w:rsid w:val="3A833516"/>
    <w:rsid w:val="3A853B72"/>
    <w:rsid w:val="3A8A8FDA"/>
    <w:rsid w:val="3AA1240B"/>
    <w:rsid w:val="3AA18FF2"/>
    <w:rsid w:val="3AAFD619"/>
    <w:rsid w:val="3AB2CD3B"/>
    <w:rsid w:val="3AB448AC"/>
    <w:rsid w:val="3ABB6446"/>
    <w:rsid w:val="3ABBB8E9"/>
    <w:rsid w:val="3AD90258"/>
    <w:rsid w:val="3AE240D1"/>
    <w:rsid w:val="3AE886B0"/>
    <w:rsid w:val="3AFBE56B"/>
    <w:rsid w:val="3B13865A"/>
    <w:rsid w:val="3B14D1D3"/>
    <w:rsid w:val="3B3BD015"/>
    <w:rsid w:val="3B3EAC70"/>
    <w:rsid w:val="3B4B1AD4"/>
    <w:rsid w:val="3B4DD590"/>
    <w:rsid w:val="3B55160A"/>
    <w:rsid w:val="3B57373E"/>
    <w:rsid w:val="3B57E72C"/>
    <w:rsid w:val="3B5ECB46"/>
    <w:rsid w:val="3B688A0E"/>
    <w:rsid w:val="3B6DC7CD"/>
    <w:rsid w:val="3B722D0E"/>
    <w:rsid w:val="3B7575EA"/>
    <w:rsid w:val="3B759CDC"/>
    <w:rsid w:val="3B80F94B"/>
    <w:rsid w:val="3B862271"/>
    <w:rsid w:val="3B87D835"/>
    <w:rsid w:val="3BA4A1CD"/>
    <w:rsid w:val="3BAB5F8B"/>
    <w:rsid w:val="3BAF06DA"/>
    <w:rsid w:val="3BAF82E5"/>
    <w:rsid w:val="3BB79A34"/>
    <w:rsid w:val="3BCB4C87"/>
    <w:rsid w:val="3BD831F0"/>
    <w:rsid w:val="3BDC87CD"/>
    <w:rsid w:val="3BDF1EFC"/>
    <w:rsid w:val="3BE3C5F4"/>
    <w:rsid w:val="3BF73F64"/>
    <w:rsid w:val="3BF9A7DC"/>
    <w:rsid w:val="3BFFFB34"/>
    <w:rsid w:val="3C07D0C7"/>
    <w:rsid w:val="3C19A8FD"/>
    <w:rsid w:val="3C1FA02A"/>
    <w:rsid w:val="3C2927BD"/>
    <w:rsid w:val="3C304365"/>
    <w:rsid w:val="3C45CCA0"/>
    <w:rsid w:val="3C500A12"/>
    <w:rsid w:val="3C516C32"/>
    <w:rsid w:val="3C576A51"/>
    <w:rsid w:val="3C5FA029"/>
    <w:rsid w:val="3C87BD9D"/>
    <w:rsid w:val="3C87DAE5"/>
    <w:rsid w:val="3C8AA85A"/>
    <w:rsid w:val="3C8BDBCB"/>
    <w:rsid w:val="3C98B807"/>
    <w:rsid w:val="3C999A4E"/>
    <w:rsid w:val="3C9A0F87"/>
    <w:rsid w:val="3C9C4829"/>
    <w:rsid w:val="3CAD403D"/>
    <w:rsid w:val="3CD241C8"/>
    <w:rsid w:val="3CD39B20"/>
    <w:rsid w:val="3CD581F0"/>
    <w:rsid w:val="3CDD8E23"/>
    <w:rsid w:val="3CE54B57"/>
    <w:rsid w:val="3CEB46D8"/>
    <w:rsid w:val="3CEFA076"/>
    <w:rsid w:val="3CF11F16"/>
    <w:rsid w:val="3CF1AD14"/>
    <w:rsid w:val="3CFC63FC"/>
    <w:rsid w:val="3CFE1522"/>
    <w:rsid w:val="3D16F914"/>
    <w:rsid w:val="3D2296F7"/>
    <w:rsid w:val="3D25B8FD"/>
    <w:rsid w:val="3D2F495B"/>
    <w:rsid w:val="3D322208"/>
    <w:rsid w:val="3D348CC3"/>
    <w:rsid w:val="3D36E7D1"/>
    <w:rsid w:val="3D3E9C51"/>
    <w:rsid w:val="3D4B4BB7"/>
    <w:rsid w:val="3D57233E"/>
    <w:rsid w:val="3D5E44AB"/>
    <w:rsid w:val="3D69CD5F"/>
    <w:rsid w:val="3D6D7183"/>
    <w:rsid w:val="3D735B8F"/>
    <w:rsid w:val="3D7A2557"/>
    <w:rsid w:val="3D7F451C"/>
    <w:rsid w:val="3D873623"/>
    <w:rsid w:val="3D88BD8D"/>
    <w:rsid w:val="3DADC2C7"/>
    <w:rsid w:val="3DAEA70E"/>
    <w:rsid w:val="3DB82175"/>
    <w:rsid w:val="3DC0AF57"/>
    <w:rsid w:val="3DCE087D"/>
    <w:rsid w:val="3DE0B8F6"/>
    <w:rsid w:val="3DE3BE9F"/>
    <w:rsid w:val="3DEC6B5A"/>
    <w:rsid w:val="3DF4BA14"/>
    <w:rsid w:val="3DF4F9D5"/>
    <w:rsid w:val="3DF8609A"/>
    <w:rsid w:val="3E1F3DE2"/>
    <w:rsid w:val="3E1FC150"/>
    <w:rsid w:val="3E212EB2"/>
    <w:rsid w:val="3E25319D"/>
    <w:rsid w:val="3E2BC120"/>
    <w:rsid w:val="3E32C831"/>
    <w:rsid w:val="3E3434D0"/>
    <w:rsid w:val="3E504BCC"/>
    <w:rsid w:val="3E50C4CC"/>
    <w:rsid w:val="3E5B94C7"/>
    <w:rsid w:val="3E66F279"/>
    <w:rsid w:val="3E68249B"/>
    <w:rsid w:val="3E6D9353"/>
    <w:rsid w:val="3E72487A"/>
    <w:rsid w:val="3E8D1734"/>
    <w:rsid w:val="3E8E378D"/>
    <w:rsid w:val="3EA52892"/>
    <w:rsid w:val="3EA70D6B"/>
    <w:rsid w:val="3EB1C472"/>
    <w:rsid w:val="3EBA6D7A"/>
    <w:rsid w:val="3EBEE377"/>
    <w:rsid w:val="3EC738C1"/>
    <w:rsid w:val="3EDDAAEE"/>
    <w:rsid w:val="3EE559EB"/>
    <w:rsid w:val="3EEB5B9A"/>
    <w:rsid w:val="3EF41ACE"/>
    <w:rsid w:val="3EF88D81"/>
    <w:rsid w:val="3EFBC71E"/>
    <w:rsid w:val="3EFDF280"/>
    <w:rsid w:val="3EFF9C16"/>
    <w:rsid w:val="3F0861F9"/>
    <w:rsid w:val="3F2495D1"/>
    <w:rsid w:val="3F503BCA"/>
    <w:rsid w:val="3F5C7FB8"/>
    <w:rsid w:val="3F648BEA"/>
    <w:rsid w:val="3F65A5D7"/>
    <w:rsid w:val="3F8E74E6"/>
    <w:rsid w:val="3F94E781"/>
    <w:rsid w:val="3F95C0C2"/>
    <w:rsid w:val="3FA549CE"/>
    <w:rsid w:val="3FA5A96E"/>
    <w:rsid w:val="3FA6F9DD"/>
    <w:rsid w:val="3FB1CC2E"/>
    <w:rsid w:val="3FB3B3A1"/>
    <w:rsid w:val="3FBF9F39"/>
    <w:rsid w:val="3FC077B5"/>
    <w:rsid w:val="3FC450E8"/>
    <w:rsid w:val="3FE1DCBC"/>
    <w:rsid w:val="3FE93D92"/>
    <w:rsid w:val="3FEAEB35"/>
    <w:rsid w:val="3FEF4E78"/>
    <w:rsid w:val="3FF080D2"/>
    <w:rsid w:val="3FF31AF6"/>
    <w:rsid w:val="3FFDB86A"/>
    <w:rsid w:val="3FFE87DC"/>
    <w:rsid w:val="401D754A"/>
    <w:rsid w:val="40258844"/>
    <w:rsid w:val="4042807D"/>
    <w:rsid w:val="4044C318"/>
    <w:rsid w:val="405165F4"/>
    <w:rsid w:val="406302EA"/>
    <w:rsid w:val="40748E40"/>
    <w:rsid w:val="40762123"/>
    <w:rsid w:val="407F9D38"/>
    <w:rsid w:val="40974005"/>
    <w:rsid w:val="409AB9DA"/>
    <w:rsid w:val="40A5BA1B"/>
    <w:rsid w:val="40B72F42"/>
    <w:rsid w:val="40B8B546"/>
    <w:rsid w:val="40BDBD12"/>
    <w:rsid w:val="40C387F2"/>
    <w:rsid w:val="40DBCB4C"/>
    <w:rsid w:val="40DD7983"/>
    <w:rsid w:val="40DFEA8F"/>
    <w:rsid w:val="40F21887"/>
    <w:rsid w:val="40FEAFD5"/>
    <w:rsid w:val="40FF29EB"/>
    <w:rsid w:val="4102DE7D"/>
    <w:rsid w:val="41038ECD"/>
    <w:rsid w:val="41241304"/>
    <w:rsid w:val="412BA771"/>
    <w:rsid w:val="412E234D"/>
    <w:rsid w:val="413FE742"/>
    <w:rsid w:val="4141FBD8"/>
    <w:rsid w:val="4154D61C"/>
    <w:rsid w:val="4168DB2E"/>
    <w:rsid w:val="416E1671"/>
    <w:rsid w:val="41AF7E10"/>
    <w:rsid w:val="41B13C04"/>
    <w:rsid w:val="41C16A4D"/>
    <w:rsid w:val="41D5D5C4"/>
    <w:rsid w:val="41DAD1CD"/>
    <w:rsid w:val="41E15FA7"/>
    <w:rsid w:val="41E94415"/>
    <w:rsid w:val="41E977AF"/>
    <w:rsid w:val="41F6E73A"/>
    <w:rsid w:val="41F82C0C"/>
    <w:rsid w:val="41FCA043"/>
    <w:rsid w:val="4213EE97"/>
    <w:rsid w:val="421F0777"/>
    <w:rsid w:val="423699DD"/>
    <w:rsid w:val="4236DAFC"/>
    <w:rsid w:val="423A4044"/>
    <w:rsid w:val="42447AFF"/>
    <w:rsid w:val="42581BE2"/>
    <w:rsid w:val="425AA97C"/>
    <w:rsid w:val="426F9659"/>
    <w:rsid w:val="426FBF6F"/>
    <w:rsid w:val="427D1DFE"/>
    <w:rsid w:val="428758D7"/>
    <w:rsid w:val="4291F5F1"/>
    <w:rsid w:val="4295C783"/>
    <w:rsid w:val="42A99384"/>
    <w:rsid w:val="42AA70B2"/>
    <w:rsid w:val="42ACE215"/>
    <w:rsid w:val="42B06CB1"/>
    <w:rsid w:val="42B09A39"/>
    <w:rsid w:val="42C07338"/>
    <w:rsid w:val="42C91B04"/>
    <w:rsid w:val="42D2E27B"/>
    <w:rsid w:val="42D3447E"/>
    <w:rsid w:val="42E40BB2"/>
    <w:rsid w:val="42EF5E41"/>
    <w:rsid w:val="42FAFC97"/>
    <w:rsid w:val="430E64DE"/>
    <w:rsid w:val="43117449"/>
    <w:rsid w:val="43145435"/>
    <w:rsid w:val="43173F8E"/>
    <w:rsid w:val="431B68FD"/>
    <w:rsid w:val="4324346A"/>
    <w:rsid w:val="43275C88"/>
    <w:rsid w:val="43325C60"/>
    <w:rsid w:val="4340C551"/>
    <w:rsid w:val="437338E3"/>
    <w:rsid w:val="4385CD0C"/>
    <w:rsid w:val="43920003"/>
    <w:rsid w:val="43933689"/>
    <w:rsid w:val="439DD83D"/>
    <w:rsid w:val="43A696EC"/>
    <w:rsid w:val="43B36C9F"/>
    <w:rsid w:val="43B981A5"/>
    <w:rsid w:val="43C22A65"/>
    <w:rsid w:val="43C791B4"/>
    <w:rsid w:val="43CF621B"/>
    <w:rsid w:val="43D36946"/>
    <w:rsid w:val="43E19498"/>
    <w:rsid w:val="43EA1909"/>
    <w:rsid w:val="43EAA307"/>
    <w:rsid w:val="43FB1D02"/>
    <w:rsid w:val="4405E8B1"/>
    <w:rsid w:val="440623CA"/>
    <w:rsid w:val="4407BD08"/>
    <w:rsid w:val="44166476"/>
    <w:rsid w:val="4424DFC3"/>
    <w:rsid w:val="4428E0C6"/>
    <w:rsid w:val="443799EF"/>
    <w:rsid w:val="443C8E42"/>
    <w:rsid w:val="44587562"/>
    <w:rsid w:val="4459E928"/>
    <w:rsid w:val="446894F5"/>
    <w:rsid w:val="44834B50"/>
    <w:rsid w:val="4483C4AD"/>
    <w:rsid w:val="448F4377"/>
    <w:rsid w:val="44A99817"/>
    <w:rsid w:val="44AA6153"/>
    <w:rsid w:val="44B57077"/>
    <w:rsid w:val="44BACD10"/>
    <w:rsid w:val="44C675ED"/>
    <w:rsid w:val="44CCDD6E"/>
    <w:rsid w:val="44D13EB0"/>
    <w:rsid w:val="44DA83AA"/>
    <w:rsid w:val="44E2738E"/>
    <w:rsid w:val="44E2BAF0"/>
    <w:rsid w:val="44E3F881"/>
    <w:rsid w:val="44F367C0"/>
    <w:rsid w:val="44F96D40"/>
    <w:rsid w:val="45040F72"/>
    <w:rsid w:val="450C31F5"/>
    <w:rsid w:val="450ED41B"/>
    <w:rsid w:val="45115A69"/>
    <w:rsid w:val="4513B8D7"/>
    <w:rsid w:val="451C08DF"/>
    <w:rsid w:val="451DA66B"/>
    <w:rsid w:val="452E6B8B"/>
    <w:rsid w:val="4538CDEE"/>
    <w:rsid w:val="45395563"/>
    <w:rsid w:val="4563CF19"/>
    <w:rsid w:val="456621A3"/>
    <w:rsid w:val="457DFE8C"/>
    <w:rsid w:val="4590A150"/>
    <w:rsid w:val="45AFE1EB"/>
    <w:rsid w:val="45C5B29B"/>
    <w:rsid w:val="45D483B0"/>
    <w:rsid w:val="45E57078"/>
    <w:rsid w:val="45ECD92E"/>
    <w:rsid w:val="45F58501"/>
    <w:rsid w:val="46065890"/>
    <w:rsid w:val="4608B7FD"/>
    <w:rsid w:val="462CFA94"/>
    <w:rsid w:val="4630F989"/>
    <w:rsid w:val="4632BA69"/>
    <w:rsid w:val="463AB3B6"/>
    <w:rsid w:val="463AF573"/>
    <w:rsid w:val="463E682B"/>
    <w:rsid w:val="4640C951"/>
    <w:rsid w:val="465D8D33"/>
    <w:rsid w:val="4660B83B"/>
    <w:rsid w:val="4669E9D3"/>
    <w:rsid w:val="466CF94F"/>
    <w:rsid w:val="466F65C9"/>
    <w:rsid w:val="467B3590"/>
    <w:rsid w:val="467F25B2"/>
    <w:rsid w:val="4682742F"/>
    <w:rsid w:val="468BFDCF"/>
    <w:rsid w:val="4693F63D"/>
    <w:rsid w:val="46944D15"/>
    <w:rsid w:val="469AF912"/>
    <w:rsid w:val="469CB674"/>
    <w:rsid w:val="46A9817F"/>
    <w:rsid w:val="46B0122B"/>
    <w:rsid w:val="46B39B79"/>
    <w:rsid w:val="46B72093"/>
    <w:rsid w:val="46B77BBF"/>
    <w:rsid w:val="46BC23F8"/>
    <w:rsid w:val="46C0B02B"/>
    <w:rsid w:val="46CEF8CA"/>
    <w:rsid w:val="46D27A1E"/>
    <w:rsid w:val="46E85112"/>
    <w:rsid w:val="46F18602"/>
    <w:rsid w:val="46F84B60"/>
    <w:rsid w:val="46FCFE9F"/>
    <w:rsid w:val="46FF7B01"/>
    <w:rsid w:val="47000378"/>
    <w:rsid w:val="4714DB38"/>
    <w:rsid w:val="4717813E"/>
    <w:rsid w:val="4718BAA1"/>
    <w:rsid w:val="472B369F"/>
    <w:rsid w:val="472C4998"/>
    <w:rsid w:val="472D7655"/>
    <w:rsid w:val="47446EDB"/>
    <w:rsid w:val="474B2072"/>
    <w:rsid w:val="475329DD"/>
    <w:rsid w:val="4754E74D"/>
    <w:rsid w:val="47876870"/>
    <w:rsid w:val="4788B4F1"/>
    <w:rsid w:val="4789258A"/>
    <w:rsid w:val="47894322"/>
    <w:rsid w:val="479421E8"/>
    <w:rsid w:val="479B7220"/>
    <w:rsid w:val="479E693C"/>
    <w:rsid w:val="47C215A5"/>
    <w:rsid w:val="47CF2BC9"/>
    <w:rsid w:val="47D19AFC"/>
    <w:rsid w:val="47DEB336"/>
    <w:rsid w:val="47E07E4C"/>
    <w:rsid w:val="47E9E682"/>
    <w:rsid w:val="47EC5E4C"/>
    <w:rsid w:val="47EDE806"/>
    <w:rsid w:val="47F47EDC"/>
    <w:rsid w:val="47F8B2D8"/>
    <w:rsid w:val="480251BE"/>
    <w:rsid w:val="4804E7E4"/>
    <w:rsid w:val="48078E02"/>
    <w:rsid w:val="480D0CEA"/>
    <w:rsid w:val="480FAF3A"/>
    <w:rsid w:val="4810F9A6"/>
    <w:rsid w:val="481B61E4"/>
    <w:rsid w:val="4828AB05"/>
    <w:rsid w:val="48346BA8"/>
    <w:rsid w:val="483B941D"/>
    <w:rsid w:val="483FD726"/>
    <w:rsid w:val="4860A42B"/>
    <w:rsid w:val="487EF61A"/>
    <w:rsid w:val="48945447"/>
    <w:rsid w:val="489F00C1"/>
    <w:rsid w:val="48A1F7B3"/>
    <w:rsid w:val="48A544B6"/>
    <w:rsid w:val="48B4C7E2"/>
    <w:rsid w:val="48B5563D"/>
    <w:rsid w:val="48B6C5FB"/>
    <w:rsid w:val="48D3AE63"/>
    <w:rsid w:val="48DE3FC6"/>
    <w:rsid w:val="48E0A643"/>
    <w:rsid w:val="48E782AD"/>
    <w:rsid w:val="48E8F5C4"/>
    <w:rsid w:val="48F17AC2"/>
    <w:rsid w:val="48F20476"/>
    <w:rsid w:val="48F213A0"/>
    <w:rsid w:val="48FF330A"/>
    <w:rsid w:val="490634DF"/>
    <w:rsid w:val="490B28D1"/>
    <w:rsid w:val="492FB7AB"/>
    <w:rsid w:val="493A0D66"/>
    <w:rsid w:val="4943BA1F"/>
    <w:rsid w:val="496A17F1"/>
    <w:rsid w:val="496DBBE6"/>
    <w:rsid w:val="496E64CB"/>
    <w:rsid w:val="49724282"/>
    <w:rsid w:val="497275D4"/>
    <w:rsid w:val="497B6F51"/>
    <w:rsid w:val="4983BF07"/>
    <w:rsid w:val="4988630B"/>
    <w:rsid w:val="498F7E6B"/>
    <w:rsid w:val="49917F17"/>
    <w:rsid w:val="49A0353E"/>
    <w:rsid w:val="49A1795A"/>
    <w:rsid w:val="49A18A63"/>
    <w:rsid w:val="49A472D9"/>
    <w:rsid w:val="49AC06E4"/>
    <w:rsid w:val="49B5D497"/>
    <w:rsid w:val="49B7ED91"/>
    <w:rsid w:val="49D372CF"/>
    <w:rsid w:val="49D6CC2C"/>
    <w:rsid w:val="49D8F5DA"/>
    <w:rsid w:val="49E5A6D6"/>
    <w:rsid w:val="49EE97FC"/>
    <w:rsid w:val="4A146757"/>
    <w:rsid w:val="4A1BFCDF"/>
    <w:rsid w:val="4A1C8FF7"/>
    <w:rsid w:val="4A2127AA"/>
    <w:rsid w:val="4A2DB706"/>
    <w:rsid w:val="4A366DA5"/>
    <w:rsid w:val="4A3CEF7F"/>
    <w:rsid w:val="4A404429"/>
    <w:rsid w:val="4A41C009"/>
    <w:rsid w:val="4A4F4BBA"/>
    <w:rsid w:val="4A61DBC9"/>
    <w:rsid w:val="4A647AE4"/>
    <w:rsid w:val="4A680BBB"/>
    <w:rsid w:val="4A7B62B6"/>
    <w:rsid w:val="4A86453C"/>
    <w:rsid w:val="4A8D0A91"/>
    <w:rsid w:val="4A8FDF15"/>
    <w:rsid w:val="4A91BB7A"/>
    <w:rsid w:val="4A9FBD0B"/>
    <w:rsid w:val="4AA3F1A8"/>
    <w:rsid w:val="4AA887A8"/>
    <w:rsid w:val="4AA89807"/>
    <w:rsid w:val="4AC9B4DA"/>
    <w:rsid w:val="4ACF06A9"/>
    <w:rsid w:val="4AD89FD4"/>
    <w:rsid w:val="4AE9BF0F"/>
    <w:rsid w:val="4AE9E408"/>
    <w:rsid w:val="4AF783FB"/>
    <w:rsid w:val="4AFD0A95"/>
    <w:rsid w:val="4B014118"/>
    <w:rsid w:val="4B1E6EBA"/>
    <w:rsid w:val="4B1F27EA"/>
    <w:rsid w:val="4B2E73EB"/>
    <w:rsid w:val="4B2F11BE"/>
    <w:rsid w:val="4B3059A5"/>
    <w:rsid w:val="4B4B3223"/>
    <w:rsid w:val="4B5AF7DE"/>
    <w:rsid w:val="4B7CBD1C"/>
    <w:rsid w:val="4B816578"/>
    <w:rsid w:val="4B8619D3"/>
    <w:rsid w:val="4B8CCF4E"/>
    <w:rsid w:val="4B8E83AC"/>
    <w:rsid w:val="4B91A7CD"/>
    <w:rsid w:val="4B9A27F9"/>
    <w:rsid w:val="4B9A3682"/>
    <w:rsid w:val="4BA22677"/>
    <w:rsid w:val="4BA3A892"/>
    <w:rsid w:val="4BB24FCC"/>
    <w:rsid w:val="4BC14F9C"/>
    <w:rsid w:val="4BD6CFAC"/>
    <w:rsid w:val="4BD7D63E"/>
    <w:rsid w:val="4BEA5CC6"/>
    <w:rsid w:val="4BF15C6A"/>
    <w:rsid w:val="4BF61141"/>
    <w:rsid w:val="4C003A86"/>
    <w:rsid w:val="4C0D632E"/>
    <w:rsid w:val="4C14CF0D"/>
    <w:rsid w:val="4C177B0B"/>
    <w:rsid w:val="4C1B22E6"/>
    <w:rsid w:val="4C1D59B5"/>
    <w:rsid w:val="4C25D275"/>
    <w:rsid w:val="4C282F31"/>
    <w:rsid w:val="4C2F0811"/>
    <w:rsid w:val="4C384D87"/>
    <w:rsid w:val="4C4867E9"/>
    <w:rsid w:val="4C4C9F03"/>
    <w:rsid w:val="4C673B1E"/>
    <w:rsid w:val="4C6C9A06"/>
    <w:rsid w:val="4C77A886"/>
    <w:rsid w:val="4C7A5EE8"/>
    <w:rsid w:val="4C8866AA"/>
    <w:rsid w:val="4C9B56C4"/>
    <w:rsid w:val="4CA84A79"/>
    <w:rsid w:val="4CB09210"/>
    <w:rsid w:val="4CBDE3CB"/>
    <w:rsid w:val="4CCFF9BF"/>
    <w:rsid w:val="4CD38A76"/>
    <w:rsid w:val="4CDE54DE"/>
    <w:rsid w:val="4CFC9E11"/>
    <w:rsid w:val="4D130CF1"/>
    <w:rsid w:val="4D16B8ED"/>
    <w:rsid w:val="4D223217"/>
    <w:rsid w:val="4D3063E2"/>
    <w:rsid w:val="4D38B4BC"/>
    <w:rsid w:val="4D39C437"/>
    <w:rsid w:val="4D3A6F09"/>
    <w:rsid w:val="4D57BFF0"/>
    <w:rsid w:val="4D5B0D28"/>
    <w:rsid w:val="4D630CA1"/>
    <w:rsid w:val="4D71B84D"/>
    <w:rsid w:val="4D82BF18"/>
    <w:rsid w:val="4D86B739"/>
    <w:rsid w:val="4D8D49D5"/>
    <w:rsid w:val="4D96A271"/>
    <w:rsid w:val="4D98FDBD"/>
    <w:rsid w:val="4D9F2BB3"/>
    <w:rsid w:val="4DA9338F"/>
    <w:rsid w:val="4DB5535A"/>
    <w:rsid w:val="4DB84F67"/>
    <w:rsid w:val="4DC5BBAE"/>
    <w:rsid w:val="4DD0F482"/>
    <w:rsid w:val="4DD5623F"/>
    <w:rsid w:val="4DD8F398"/>
    <w:rsid w:val="4DE098C1"/>
    <w:rsid w:val="4DE2A444"/>
    <w:rsid w:val="4DF6C9E6"/>
    <w:rsid w:val="4E081C6C"/>
    <w:rsid w:val="4E0C2679"/>
    <w:rsid w:val="4E0FC5A9"/>
    <w:rsid w:val="4E145CFA"/>
    <w:rsid w:val="4E380003"/>
    <w:rsid w:val="4E3C1C76"/>
    <w:rsid w:val="4E420EE8"/>
    <w:rsid w:val="4E4A20E6"/>
    <w:rsid w:val="4E4D1FC5"/>
    <w:rsid w:val="4E57B8D3"/>
    <w:rsid w:val="4E61E7E1"/>
    <w:rsid w:val="4E66D0E5"/>
    <w:rsid w:val="4E8A1D58"/>
    <w:rsid w:val="4E8ACC7A"/>
    <w:rsid w:val="4E90E2ED"/>
    <w:rsid w:val="4E916D90"/>
    <w:rsid w:val="4E992CBB"/>
    <w:rsid w:val="4E9D8DCF"/>
    <w:rsid w:val="4EAC2B1D"/>
    <w:rsid w:val="4EB85AD0"/>
    <w:rsid w:val="4EC16550"/>
    <w:rsid w:val="4EC28F6F"/>
    <w:rsid w:val="4ED2AFD4"/>
    <w:rsid w:val="4ED7D68F"/>
    <w:rsid w:val="4EEE26B5"/>
    <w:rsid w:val="4EF0E4C8"/>
    <w:rsid w:val="4EF3EA99"/>
    <w:rsid w:val="4EF6754B"/>
    <w:rsid w:val="4EFE7249"/>
    <w:rsid w:val="4F04CC3B"/>
    <w:rsid w:val="4F0A2362"/>
    <w:rsid w:val="4F142FA2"/>
    <w:rsid w:val="4F17793F"/>
    <w:rsid w:val="4F291310"/>
    <w:rsid w:val="4F313FCE"/>
    <w:rsid w:val="4F332565"/>
    <w:rsid w:val="4F3426E9"/>
    <w:rsid w:val="4F4FA117"/>
    <w:rsid w:val="4F5AFDFA"/>
    <w:rsid w:val="4F664B34"/>
    <w:rsid w:val="4F73D0DE"/>
    <w:rsid w:val="4F8B328F"/>
    <w:rsid w:val="4F930D20"/>
    <w:rsid w:val="4FAFAC7D"/>
    <w:rsid w:val="4FB7E3D6"/>
    <w:rsid w:val="4FD3B931"/>
    <w:rsid w:val="4FDF6B20"/>
    <w:rsid w:val="4FE0C6BE"/>
    <w:rsid w:val="4FE5871C"/>
    <w:rsid w:val="4FF787DB"/>
    <w:rsid w:val="4FFB2811"/>
    <w:rsid w:val="4FFB9731"/>
    <w:rsid w:val="500E1CC9"/>
    <w:rsid w:val="501005F1"/>
    <w:rsid w:val="501AF89E"/>
    <w:rsid w:val="501B4D64"/>
    <w:rsid w:val="5032A719"/>
    <w:rsid w:val="504584E4"/>
    <w:rsid w:val="504696A8"/>
    <w:rsid w:val="504CEE20"/>
    <w:rsid w:val="5058AF58"/>
    <w:rsid w:val="5058C348"/>
    <w:rsid w:val="50660B0C"/>
    <w:rsid w:val="5076EC27"/>
    <w:rsid w:val="507FF5C9"/>
    <w:rsid w:val="5085F85F"/>
    <w:rsid w:val="50ACD93B"/>
    <w:rsid w:val="50ADD32B"/>
    <w:rsid w:val="50B7D5D5"/>
    <w:rsid w:val="50B93B6E"/>
    <w:rsid w:val="50BFC3AE"/>
    <w:rsid w:val="50E47D7A"/>
    <w:rsid w:val="50EB7932"/>
    <w:rsid w:val="50FB3FC6"/>
    <w:rsid w:val="51021C15"/>
    <w:rsid w:val="510A8E12"/>
    <w:rsid w:val="510C274B"/>
    <w:rsid w:val="5126D7DF"/>
    <w:rsid w:val="512B4954"/>
    <w:rsid w:val="512CA424"/>
    <w:rsid w:val="512F7B4C"/>
    <w:rsid w:val="513E6D07"/>
    <w:rsid w:val="513FDF6D"/>
    <w:rsid w:val="514554D2"/>
    <w:rsid w:val="515748BF"/>
    <w:rsid w:val="5179D7CA"/>
    <w:rsid w:val="5185637F"/>
    <w:rsid w:val="5196942B"/>
    <w:rsid w:val="51AB0372"/>
    <w:rsid w:val="51B1016A"/>
    <w:rsid w:val="51B6308D"/>
    <w:rsid w:val="51CF5B41"/>
    <w:rsid w:val="51E20390"/>
    <w:rsid w:val="51E26709"/>
    <w:rsid w:val="51E871C4"/>
    <w:rsid w:val="51EA6A60"/>
    <w:rsid w:val="51F15495"/>
    <w:rsid w:val="51F4A425"/>
    <w:rsid w:val="51F5D192"/>
    <w:rsid w:val="52078523"/>
    <w:rsid w:val="520993FE"/>
    <w:rsid w:val="5209FC23"/>
    <w:rsid w:val="520AE1B2"/>
    <w:rsid w:val="5213707C"/>
    <w:rsid w:val="524B58C0"/>
    <w:rsid w:val="525478A6"/>
    <w:rsid w:val="525892BE"/>
    <w:rsid w:val="52689C33"/>
    <w:rsid w:val="526EC2DF"/>
    <w:rsid w:val="52700357"/>
    <w:rsid w:val="5271D7FA"/>
    <w:rsid w:val="5279D1E0"/>
    <w:rsid w:val="5280E6A7"/>
    <w:rsid w:val="5297C468"/>
    <w:rsid w:val="52BECCAA"/>
    <w:rsid w:val="52C10EDE"/>
    <w:rsid w:val="52C4FE60"/>
    <w:rsid w:val="52D0F39E"/>
    <w:rsid w:val="52DAF49B"/>
    <w:rsid w:val="530BCD0D"/>
    <w:rsid w:val="531EF964"/>
    <w:rsid w:val="53259DFE"/>
    <w:rsid w:val="53429DBF"/>
    <w:rsid w:val="535574D3"/>
    <w:rsid w:val="535CCD16"/>
    <w:rsid w:val="536BF9D7"/>
    <w:rsid w:val="536FC956"/>
    <w:rsid w:val="5375493E"/>
    <w:rsid w:val="5379109E"/>
    <w:rsid w:val="537FB4B6"/>
    <w:rsid w:val="5388AF5F"/>
    <w:rsid w:val="5395FEA2"/>
    <w:rsid w:val="539B1AA3"/>
    <w:rsid w:val="53A4EC5C"/>
    <w:rsid w:val="53B86F3B"/>
    <w:rsid w:val="53C23C76"/>
    <w:rsid w:val="53C91740"/>
    <w:rsid w:val="53CA0162"/>
    <w:rsid w:val="53CF57D6"/>
    <w:rsid w:val="53DED7F2"/>
    <w:rsid w:val="53EB7976"/>
    <w:rsid w:val="54058DF2"/>
    <w:rsid w:val="540DBE7F"/>
    <w:rsid w:val="54123268"/>
    <w:rsid w:val="5413CDA1"/>
    <w:rsid w:val="54177B40"/>
    <w:rsid w:val="541F77FA"/>
    <w:rsid w:val="5422B31C"/>
    <w:rsid w:val="5423626D"/>
    <w:rsid w:val="542E6995"/>
    <w:rsid w:val="5438F4C8"/>
    <w:rsid w:val="54524DA9"/>
    <w:rsid w:val="545BE817"/>
    <w:rsid w:val="5463F3AA"/>
    <w:rsid w:val="54742DD6"/>
    <w:rsid w:val="5476E51F"/>
    <w:rsid w:val="547DFBC6"/>
    <w:rsid w:val="549FC32F"/>
    <w:rsid w:val="54A635D0"/>
    <w:rsid w:val="54A8E27A"/>
    <w:rsid w:val="54BFB25C"/>
    <w:rsid w:val="54C50A80"/>
    <w:rsid w:val="54D07951"/>
    <w:rsid w:val="54F358A5"/>
    <w:rsid w:val="54F53492"/>
    <w:rsid w:val="54FE2089"/>
    <w:rsid w:val="55058740"/>
    <w:rsid w:val="550635C3"/>
    <w:rsid w:val="550E9E63"/>
    <w:rsid w:val="550ED6B4"/>
    <w:rsid w:val="55127815"/>
    <w:rsid w:val="551707E9"/>
    <w:rsid w:val="551A1DDA"/>
    <w:rsid w:val="551BB7EC"/>
    <w:rsid w:val="5534B5D2"/>
    <w:rsid w:val="55376B0E"/>
    <w:rsid w:val="55389739"/>
    <w:rsid w:val="55476119"/>
    <w:rsid w:val="55688FEF"/>
    <w:rsid w:val="55739E0B"/>
    <w:rsid w:val="5575115F"/>
    <w:rsid w:val="557706DC"/>
    <w:rsid w:val="5586F1B1"/>
    <w:rsid w:val="558EE898"/>
    <w:rsid w:val="558F4414"/>
    <w:rsid w:val="55A4748C"/>
    <w:rsid w:val="55AA0E5C"/>
    <w:rsid w:val="55AB2C6C"/>
    <w:rsid w:val="55B58091"/>
    <w:rsid w:val="55BD3964"/>
    <w:rsid w:val="55C09576"/>
    <w:rsid w:val="55C9B6C3"/>
    <w:rsid w:val="55E14D8E"/>
    <w:rsid w:val="55E964B0"/>
    <w:rsid w:val="55EBECC5"/>
    <w:rsid w:val="55F0A92F"/>
    <w:rsid w:val="56105724"/>
    <w:rsid w:val="5627AE33"/>
    <w:rsid w:val="562AA0C0"/>
    <w:rsid w:val="563CC9A0"/>
    <w:rsid w:val="5645C7CE"/>
    <w:rsid w:val="565BB143"/>
    <w:rsid w:val="5663E83A"/>
    <w:rsid w:val="567B36DF"/>
    <w:rsid w:val="567E6DA4"/>
    <w:rsid w:val="56891B48"/>
    <w:rsid w:val="5691307F"/>
    <w:rsid w:val="56914882"/>
    <w:rsid w:val="56935C04"/>
    <w:rsid w:val="569B6BAF"/>
    <w:rsid w:val="569DF807"/>
    <w:rsid w:val="569EDF5D"/>
    <w:rsid w:val="569F695C"/>
    <w:rsid w:val="56A632EB"/>
    <w:rsid w:val="56BCF731"/>
    <w:rsid w:val="56D6E0C4"/>
    <w:rsid w:val="56FAD99A"/>
    <w:rsid w:val="570A5715"/>
    <w:rsid w:val="571A9028"/>
    <w:rsid w:val="571E4B80"/>
    <w:rsid w:val="573BE0F7"/>
    <w:rsid w:val="57543F4F"/>
    <w:rsid w:val="5761D7A9"/>
    <w:rsid w:val="5764D8BE"/>
    <w:rsid w:val="576B5FB9"/>
    <w:rsid w:val="577C1C33"/>
    <w:rsid w:val="578C25C0"/>
    <w:rsid w:val="5790BC1C"/>
    <w:rsid w:val="57A4F5CD"/>
    <w:rsid w:val="57AA3F7D"/>
    <w:rsid w:val="57B3D137"/>
    <w:rsid w:val="57B953A8"/>
    <w:rsid w:val="57D29BAD"/>
    <w:rsid w:val="57DB3581"/>
    <w:rsid w:val="57E3625E"/>
    <w:rsid w:val="57EB1730"/>
    <w:rsid w:val="57EF00F1"/>
    <w:rsid w:val="57EF9CF6"/>
    <w:rsid w:val="57F53AFC"/>
    <w:rsid w:val="58035ABC"/>
    <w:rsid w:val="58091ED6"/>
    <w:rsid w:val="5827574B"/>
    <w:rsid w:val="582BB0DD"/>
    <w:rsid w:val="582CBA2E"/>
    <w:rsid w:val="583168C9"/>
    <w:rsid w:val="58351A47"/>
    <w:rsid w:val="5836C41F"/>
    <w:rsid w:val="584888D9"/>
    <w:rsid w:val="5854C428"/>
    <w:rsid w:val="58718BF5"/>
    <w:rsid w:val="5884A927"/>
    <w:rsid w:val="58A22728"/>
    <w:rsid w:val="58A24329"/>
    <w:rsid w:val="58AF78F9"/>
    <w:rsid w:val="58B22501"/>
    <w:rsid w:val="58B6344B"/>
    <w:rsid w:val="58E19E7C"/>
    <w:rsid w:val="58ED0857"/>
    <w:rsid w:val="58F25CE9"/>
    <w:rsid w:val="5906B7E0"/>
    <w:rsid w:val="5917C5AF"/>
    <w:rsid w:val="5938E8FD"/>
    <w:rsid w:val="5944B898"/>
    <w:rsid w:val="594AB211"/>
    <w:rsid w:val="59537531"/>
    <w:rsid w:val="595528CF"/>
    <w:rsid w:val="597ACAC0"/>
    <w:rsid w:val="5993E6CB"/>
    <w:rsid w:val="599DBC19"/>
    <w:rsid w:val="59AEA608"/>
    <w:rsid w:val="59BAA00D"/>
    <w:rsid w:val="59C4AC1B"/>
    <w:rsid w:val="59C518D8"/>
    <w:rsid w:val="59CFD44E"/>
    <w:rsid w:val="59D2AD57"/>
    <w:rsid w:val="59E30055"/>
    <w:rsid w:val="59EB2CC0"/>
    <w:rsid w:val="59F87939"/>
    <w:rsid w:val="59FE2784"/>
    <w:rsid w:val="5A02BCCD"/>
    <w:rsid w:val="5A049B86"/>
    <w:rsid w:val="5A189EB0"/>
    <w:rsid w:val="5A1D9A01"/>
    <w:rsid w:val="5A202F26"/>
    <w:rsid w:val="5A27D431"/>
    <w:rsid w:val="5A2B54C9"/>
    <w:rsid w:val="5A3DA4E8"/>
    <w:rsid w:val="5A468E41"/>
    <w:rsid w:val="5A6805C5"/>
    <w:rsid w:val="5A711CB7"/>
    <w:rsid w:val="5A76F4A4"/>
    <w:rsid w:val="5A792FB7"/>
    <w:rsid w:val="5A7977A0"/>
    <w:rsid w:val="5A9460CB"/>
    <w:rsid w:val="5A949A41"/>
    <w:rsid w:val="5A9976D8"/>
    <w:rsid w:val="5A9BF35F"/>
    <w:rsid w:val="5AB1BF40"/>
    <w:rsid w:val="5AC26AAC"/>
    <w:rsid w:val="5AC2D92B"/>
    <w:rsid w:val="5AD24DFE"/>
    <w:rsid w:val="5AE9069A"/>
    <w:rsid w:val="5AEC6C24"/>
    <w:rsid w:val="5AFFF52E"/>
    <w:rsid w:val="5B036DEE"/>
    <w:rsid w:val="5B12A335"/>
    <w:rsid w:val="5B1EBA9A"/>
    <w:rsid w:val="5B25FAAF"/>
    <w:rsid w:val="5B369694"/>
    <w:rsid w:val="5B3ED8A7"/>
    <w:rsid w:val="5B434380"/>
    <w:rsid w:val="5B49B949"/>
    <w:rsid w:val="5B4E006B"/>
    <w:rsid w:val="5B5378DC"/>
    <w:rsid w:val="5B54385F"/>
    <w:rsid w:val="5B6028E6"/>
    <w:rsid w:val="5B66C07F"/>
    <w:rsid w:val="5B7FCCA1"/>
    <w:rsid w:val="5B911A13"/>
    <w:rsid w:val="5B982F5B"/>
    <w:rsid w:val="5B9BCFA0"/>
    <w:rsid w:val="5BA46E8D"/>
    <w:rsid w:val="5BA8C48E"/>
    <w:rsid w:val="5BB0158F"/>
    <w:rsid w:val="5BBB1C3F"/>
    <w:rsid w:val="5BC473DA"/>
    <w:rsid w:val="5BE1D1E6"/>
    <w:rsid w:val="5BE50788"/>
    <w:rsid w:val="5BEAB4D0"/>
    <w:rsid w:val="5C0F94E0"/>
    <w:rsid w:val="5C1E391B"/>
    <w:rsid w:val="5C24B3A7"/>
    <w:rsid w:val="5C28F03A"/>
    <w:rsid w:val="5C2FDB98"/>
    <w:rsid w:val="5C34744F"/>
    <w:rsid w:val="5C382B0D"/>
    <w:rsid w:val="5C4877D4"/>
    <w:rsid w:val="5C49A306"/>
    <w:rsid w:val="5C4ECE61"/>
    <w:rsid w:val="5C578079"/>
    <w:rsid w:val="5C62D4E6"/>
    <w:rsid w:val="5C684DB7"/>
    <w:rsid w:val="5C6B8572"/>
    <w:rsid w:val="5C6D44B5"/>
    <w:rsid w:val="5C759814"/>
    <w:rsid w:val="5C79F043"/>
    <w:rsid w:val="5C84D6FB"/>
    <w:rsid w:val="5C8A193F"/>
    <w:rsid w:val="5C9AA373"/>
    <w:rsid w:val="5C9BF8D3"/>
    <w:rsid w:val="5C9D8FAE"/>
    <w:rsid w:val="5C9EEE44"/>
    <w:rsid w:val="5CAB4363"/>
    <w:rsid w:val="5CB7A8A9"/>
    <w:rsid w:val="5CD30595"/>
    <w:rsid w:val="5CD331D4"/>
    <w:rsid w:val="5CD76131"/>
    <w:rsid w:val="5CD77724"/>
    <w:rsid w:val="5CE64DA0"/>
    <w:rsid w:val="5CFB1581"/>
    <w:rsid w:val="5D05C72F"/>
    <w:rsid w:val="5D07F42F"/>
    <w:rsid w:val="5D10261D"/>
    <w:rsid w:val="5D1D7BE3"/>
    <w:rsid w:val="5D299D4A"/>
    <w:rsid w:val="5D2D98B6"/>
    <w:rsid w:val="5D33B052"/>
    <w:rsid w:val="5D364802"/>
    <w:rsid w:val="5D4051AD"/>
    <w:rsid w:val="5D49010A"/>
    <w:rsid w:val="5D4B151E"/>
    <w:rsid w:val="5D52A6CB"/>
    <w:rsid w:val="5D6164E9"/>
    <w:rsid w:val="5D64A7BE"/>
    <w:rsid w:val="5D70748C"/>
    <w:rsid w:val="5D711C80"/>
    <w:rsid w:val="5D873AA1"/>
    <w:rsid w:val="5D93AD2F"/>
    <w:rsid w:val="5D9A06A3"/>
    <w:rsid w:val="5D9E73EC"/>
    <w:rsid w:val="5DA0A2C1"/>
    <w:rsid w:val="5DA1CDEF"/>
    <w:rsid w:val="5DA327E9"/>
    <w:rsid w:val="5DA33B7E"/>
    <w:rsid w:val="5DAB6F87"/>
    <w:rsid w:val="5DB04E73"/>
    <w:rsid w:val="5DB0BFFF"/>
    <w:rsid w:val="5DB2BBB2"/>
    <w:rsid w:val="5DCC410E"/>
    <w:rsid w:val="5DD01256"/>
    <w:rsid w:val="5DD27A5A"/>
    <w:rsid w:val="5DD7F6BA"/>
    <w:rsid w:val="5DDA6578"/>
    <w:rsid w:val="5DE74EDF"/>
    <w:rsid w:val="5DE76CA0"/>
    <w:rsid w:val="5DF0AB3C"/>
    <w:rsid w:val="5DF1E945"/>
    <w:rsid w:val="5E014EEF"/>
    <w:rsid w:val="5E09F577"/>
    <w:rsid w:val="5E2D60EE"/>
    <w:rsid w:val="5E3596B0"/>
    <w:rsid w:val="5E3B7559"/>
    <w:rsid w:val="5E3F54E5"/>
    <w:rsid w:val="5E4071BD"/>
    <w:rsid w:val="5E49EAAB"/>
    <w:rsid w:val="5E50776C"/>
    <w:rsid w:val="5E50B593"/>
    <w:rsid w:val="5E54C442"/>
    <w:rsid w:val="5E615F45"/>
    <w:rsid w:val="5E72840E"/>
    <w:rsid w:val="5E73D731"/>
    <w:rsid w:val="5E7749F9"/>
    <w:rsid w:val="5E7F892A"/>
    <w:rsid w:val="5E832D89"/>
    <w:rsid w:val="5E84BFD7"/>
    <w:rsid w:val="5E8DD0EB"/>
    <w:rsid w:val="5EA1585B"/>
    <w:rsid w:val="5EA2310D"/>
    <w:rsid w:val="5EA947CA"/>
    <w:rsid w:val="5EB76E26"/>
    <w:rsid w:val="5EB85989"/>
    <w:rsid w:val="5EBAB128"/>
    <w:rsid w:val="5EBD992E"/>
    <w:rsid w:val="5ED8E4AD"/>
    <w:rsid w:val="5EDC93DD"/>
    <w:rsid w:val="5EE80528"/>
    <w:rsid w:val="5EFB2D2D"/>
    <w:rsid w:val="5F02D603"/>
    <w:rsid w:val="5F1DB826"/>
    <w:rsid w:val="5F28DB2E"/>
    <w:rsid w:val="5F2D5DE4"/>
    <w:rsid w:val="5F33216F"/>
    <w:rsid w:val="5F38386D"/>
    <w:rsid w:val="5F3CF66A"/>
    <w:rsid w:val="5F3F802F"/>
    <w:rsid w:val="5F475070"/>
    <w:rsid w:val="5F529136"/>
    <w:rsid w:val="5F541995"/>
    <w:rsid w:val="5F5ACBD3"/>
    <w:rsid w:val="5F5C9873"/>
    <w:rsid w:val="5F5F0AD9"/>
    <w:rsid w:val="5F6527FA"/>
    <w:rsid w:val="5F765FE9"/>
    <w:rsid w:val="5F8D4402"/>
    <w:rsid w:val="5F92CC57"/>
    <w:rsid w:val="5FB287A8"/>
    <w:rsid w:val="5FB416AF"/>
    <w:rsid w:val="5FB45800"/>
    <w:rsid w:val="5FC94512"/>
    <w:rsid w:val="5FC9774C"/>
    <w:rsid w:val="5FCC9158"/>
    <w:rsid w:val="5FD4E5D8"/>
    <w:rsid w:val="5FD73A83"/>
    <w:rsid w:val="5FDCF2D4"/>
    <w:rsid w:val="5FE85DF9"/>
    <w:rsid w:val="6004C945"/>
    <w:rsid w:val="601B3136"/>
    <w:rsid w:val="601DC78C"/>
    <w:rsid w:val="602F4ECD"/>
    <w:rsid w:val="603E64C5"/>
    <w:rsid w:val="60513D48"/>
    <w:rsid w:val="605A95A2"/>
    <w:rsid w:val="6060961B"/>
    <w:rsid w:val="606CED97"/>
    <w:rsid w:val="60759AC6"/>
    <w:rsid w:val="6085C2B5"/>
    <w:rsid w:val="608ABF4A"/>
    <w:rsid w:val="60977523"/>
    <w:rsid w:val="6098A022"/>
    <w:rsid w:val="6099DE51"/>
    <w:rsid w:val="60AF4486"/>
    <w:rsid w:val="60B8F439"/>
    <w:rsid w:val="60BCEE86"/>
    <w:rsid w:val="60C4068F"/>
    <w:rsid w:val="60C932F1"/>
    <w:rsid w:val="60D24B08"/>
    <w:rsid w:val="60D328BD"/>
    <w:rsid w:val="60D57C47"/>
    <w:rsid w:val="60DBC152"/>
    <w:rsid w:val="60DDD92C"/>
    <w:rsid w:val="60F69C34"/>
    <w:rsid w:val="60F7DBE3"/>
    <w:rsid w:val="60F9433B"/>
    <w:rsid w:val="6105E303"/>
    <w:rsid w:val="61063AB4"/>
    <w:rsid w:val="6107C4F2"/>
    <w:rsid w:val="610C2DA8"/>
    <w:rsid w:val="6111B528"/>
    <w:rsid w:val="6118816B"/>
    <w:rsid w:val="6118D651"/>
    <w:rsid w:val="611C680D"/>
    <w:rsid w:val="61340A5E"/>
    <w:rsid w:val="613C9803"/>
    <w:rsid w:val="613E9B01"/>
    <w:rsid w:val="6147A687"/>
    <w:rsid w:val="616051EF"/>
    <w:rsid w:val="61845427"/>
    <w:rsid w:val="6195A228"/>
    <w:rsid w:val="61A1DC65"/>
    <w:rsid w:val="61A5E274"/>
    <w:rsid w:val="61CFF92B"/>
    <w:rsid w:val="61D0D3FB"/>
    <w:rsid w:val="61D926AE"/>
    <w:rsid w:val="61EF794D"/>
    <w:rsid w:val="61F7EF83"/>
    <w:rsid w:val="62024082"/>
    <w:rsid w:val="6219710B"/>
    <w:rsid w:val="621B677E"/>
    <w:rsid w:val="6233D456"/>
    <w:rsid w:val="62390BF2"/>
    <w:rsid w:val="625DC705"/>
    <w:rsid w:val="626440C7"/>
    <w:rsid w:val="62775D98"/>
    <w:rsid w:val="627CD017"/>
    <w:rsid w:val="6288E4CD"/>
    <w:rsid w:val="628EB073"/>
    <w:rsid w:val="629B5242"/>
    <w:rsid w:val="62A167BF"/>
    <w:rsid w:val="62B38F01"/>
    <w:rsid w:val="62B6761D"/>
    <w:rsid w:val="62B6AB4A"/>
    <w:rsid w:val="62BF489D"/>
    <w:rsid w:val="62C4322E"/>
    <w:rsid w:val="62D07950"/>
    <w:rsid w:val="62D56B60"/>
    <w:rsid w:val="62D6A3D5"/>
    <w:rsid w:val="62D92A66"/>
    <w:rsid w:val="62DAAD93"/>
    <w:rsid w:val="62E144E0"/>
    <w:rsid w:val="630DB58A"/>
    <w:rsid w:val="63172EB5"/>
    <w:rsid w:val="6326BB05"/>
    <w:rsid w:val="6331D19E"/>
    <w:rsid w:val="6339E2B3"/>
    <w:rsid w:val="634107A0"/>
    <w:rsid w:val="634331A0"/>
    <w:rsid w:val="63551078"/>
    <w:rsid w:val="635D3073"/>
    <w:rsid w:val="63656978"/>
    <w:rsid w:val="636E91FD"/>
    <w:rsid w:val="63727417"/>
    <w:rsid w:val="6372B7FC"/>
    <w:rsid w:val="6375DAA5"/>
    <w:rsid w:val="6382275A"/>
    <w:rsid w:val="63875B0F"/>
    <w:rsid w:val="63990A4D"/>
    <w:rsid w:val="63A9849B"/>
    <w:rsid w:val="63B17840"/>
    <w:rsid w:val="63BF8AD2"/>
    <w:rsid w:val="63CC5723"/>
    <w:rsid w:val="63CE5A9B"/>
    <w:rsid w:val="63D66AF6"/>
    <w:rsid w:val="63E6E5BF"/>
    <w:rsid w:val="63FEA8CE"/>
    <w:rsid w:val="6410FDBC"/>
    <w:rsid w:val="6421C9F2"/>
    <w:rsid w:val="64278E9E"/>
    <w:rsid w:val="642B7232"/>
    <w:rsid w:val="64334BB8"/>
    <w:rsid w:val="643BCC01"/>
    <w:rsid w:val="64486EC1"/>
    <w:rsid w:val="644924A1"/>
    <w:rsid w:val="644BB3F7"/>
    <w:rsid w:val="646689DF"/>
    <w:rsid w:val="6475D8C2"/>
    <w:rsid w:val="64866442"/>
    <w:rsid w:val="648E1266"/>
    <w:rsid w:val="6491B4BC"/>
    <w:rsid w:val="64ADCDBE"/>
    <w:rsid w:val="64C5700F"/>
    <w:rsid w:val="64CA20B9"/>
    <w:rsid w:val="64CFA6A8"/>
    <w:rsid w:val="64D3D2B1"/>
    <w:rsid w:val="64EC31AC"/>
    <w:rsid w:val="64F588C8"/>
    <w:rsid w:val="64F66965"/>
    <w:rsid w:val="64FC80D3"/>
    <w:rsid w:val="65066FE6"/>
    <w:rsid w:val="6538B1DF"/>
    <w:rsid w:val="653B2C41"/>
    <w:rsid w:val="65422CC2"/>
    <w:rsid w:val="654CFEF4"/>
    <w:rsid w:val="655A955D"/>
    <w:rsid w:val="656C7F8A"/>
    <w:rsid w:val="65758739"/>
    <w:rsid w:val="6579BB8B"/>
    <w:rsid w:val="657E2C34"/>
    <w:rsid w:val="657FEC64"/>
    <w:rsid w:val="658280B1"/>
    <w:rsid w:val="658A79F5"/>
    <w:rsid w:val="65A0D9C8"/>
    <w:rsid w:val="65A9A98D"/>
    <w:rsid w:val="65AF9014"/>
    <w:rsid w:val="65B369BF"/>
    <w:rsid w:val="65B66F8D"/>
    <w:rsid w:val="65CA41E4"/>
    <w:rsid w:val="65CAA9D1"/>
    <w:rsid w:val="65F1B41E"/>
    <w:rsid w:val="65F2A4D5"/>
    <w:rsid w:val="6611AB3B"/>
    <w:rsid w:val="66139A2B"/>
    <w:rsid w:val="6614FC6D"/>
    <w:rsid w:val="661648AF"/>
    <w:rsid w:val="661A72DE"/>
    <w:rsid w:val="663C1328"/>
    <w:rsid w:val="664B73B7"/>
    <w:rsid w:val="664C9C67"/>
    <w:rsid w:val="664E4586"/>
    <w:rsid w:val="664ECBC8"/>
    <w:rsid w:val="664EE45A"/>
    <w:rsid w:val="6674CD3C"/>
    <w:rsid w:val="6675AFDA"/>
    <w:rsid w:val="6676C238"/>
    <w:rsid w:val="667A6432"/>
    <w:rsid w:val="667C45D7"/>
    <w:rsid w:val="667E18B3"/>
    <w:rsid w:val="6685B344"/>
    <w:rsid w:val="669BF988"/>
    <w:rsid w:val="66AFF49C"/>
    <w:rsid w:val="66B7C5C0"/>
    <w:rsid w:val="66C1BE47"/>
    <w:rsid w:val="66EA26BD"/>
    <w:rsid w:val="66F43A2D"/>
    <w:rsid w:val="66FC50BD"/>
    <w:rsid w:val="66FCA30E"/>
    <w:rsid w:val="67060B44"/>
    <w:rsid w:val="67184E5E"/>
    <w:rsid w:val="6741FBB1"/>
    <w:rsid w:val="674B9BE2"/>
    <w:rsid w:val="67615164"/>
    <w:rsid w:val="67632175"/>
    <w:rsid w:val="677E128A"/>
    <w:rsid w:val="678407CC"/>
    <w:rsid w:val="678EB38D"/>
    <w:rsid w:val="67935C87"/>
    <w:rsid w:val="67946351"/>
    <w:rsid w:val="679C7696"/>
    <w:rsid w:val="67AB4FD5"/>
    <w:rsid w:val="67AEC61E"/>
    <w:rsid w:val="67AF328C"/>
    <w:rsid w:val="67BD384F"/>
    <w:rsid w:val="67C27F2D"/>
    <w:rsid w:val="67C7BAD0"/>
    <w:rsid w:val="67D1F3B6"/>
    <w:rsid w:val="67DDC995"/>
    <w:rsid w:val="67DED069"/>
    <w:rsid w:val="67E3EB00"/>
    <w:rsid w:val="6810E4D1"/>
    <w:rsid w:val="6817D835"/>
    <w:rsid w:val="68198B52"/>
    <w:rsid w:val="6819F365"/>
    <w:rsid w:val="681C91E9"/>
    <w:rsid w:val="681D8BB8"/>
    <w:rsid w:val="682217CB"/>
    <w:rsid w:val="683585BB"/>
    <w:rsid w:val="6842379C"/>
    <w:rsid w:val="684FD2EA"/>
    <w:rsid w:val="68539295"/>
    <w:rsid w:val="68668821"/>
    <w:rsid w:val="687231CD"/>
    <w:rsid w:val="68761D0D"/>
    <w:rsid w:val="6879BFAC"/>
    <w:rsid w:val="6888166A"/>
    <w:rsid w:val="688ADD45"/>
    <w:rsid w:val="6896B974"/>
    <w:rsid w:val="68A7F1F6"/>
    <w:rsid w:val="68C04606"/>
    <w:rsid w:val="68CC13C5"/>
    <w:rsid w:val="68E057AB"/>
    <w:rsid w:val="68E54E1F"/>
    <w:rsid w:val="68E8A8F6"/>
    <w:rsid w:val="68ED1E09"/>
    <w:rsid w:val="68EF1629"/>
    <w:rsid w:val="68F3C90D"/>
    <w:rsid w:val="6907379B"/>
    <w:rsid w:val="6908D17C"/>
    <w:rsid w:val="691A3AF8"/>
    <w:rsid w:val="69209997"/>
    <w:rsid w:val="6937B0E0"/>
    <w:rsid w:val="694EF937"/>
    <w:rsid w:val="6958382B"/>
    <w:rsid w:val="695B6BFD"/>
    <w:rsid w:val="695DFA4A"/>
    <w:rsid w:val="6964EDE9"/>
    <w:rsid w:val="6973EF6B"/>
    <w:rsid w:val="697E0EA3"/>
    <w:rsid w:val="6988381A"/>
    <w:rsid w:val="698D357C"/>
    <w:rsid w:val="699500D9"/>
    <w:rsid w:val="69A39B49"/>
    <w:rsid w:val="69A84B2A"/>
    <w:rsid w:val="69AC54AA"/>
    <w:rsid w:val="69BA5FE1"/>
    <w:rsid w:val="69BB5C00"/>
    <w:rsid w:val="69BDFC9D"/>
    <w:rsid w:val="69C094FC"/>
    <w:rsid w:val="69C18ECE"/>
    <w:rsid w:val="69C9F054"/>
    <w:rsid w:val="69DC9DAF"/>
    <w:rsid w:val="69E9C010"/>
    <w:rsid w:val="6A01A305"/>
    <w:rsid w:val="6A02B09D"/>
    <w:rsid w:val="6A0721B6"/>
    <w:rsid w:val="6A0F6D38"/>
    <w:rsid w:val="6A186912"/>
    <w:rsid w:val="6A28D15B"/>
    <w:rsid w:val="6A2C3E27"/>
    <w:rsid w:val="6A2DCD85"/>
    <w:rsid w:val="6A2F4D0B"/>
    <w:rsid w:val="6A356C65"/>
    <w:rsid w:val="6A3AB32A"/>
    <w:rsid w:val="6A3AF5FB"/>
    <w:rsid w:val="6A4057E7"/>
    <w:rsid w:val="6A4BB32F"/>
    <w:rsid w:val="6A5565B8"/>
    <w:rsid w:val="6A5A0CAE"/>
    <w:rsid w:val="6A6493AA"/>
    <w:rsid w:val="6A747969"/>
    <w:rsid w:val="6A853FCC"/>
    <w:rsid w:val="6A8868E2"/>
    <w:rsid w:val="6AA22E7D"/>
    <w:rsid w:val="6AAF9EF8"/>
    <w:rsid w:val="6AB1F288"/>
    <w:rsid w:val="6ABE6D90"/>
    <w:rsid w:val="6AC8563B"/>
    <w:rsid w:val="6AE32560"/>
    <w:rsid w:val="6AE91C0E"/>
    <w:rsid w:val="6AEA073E"/>
    <w:rsid w:val="6AEEDF50"/>
    <w:rsid w:val="6B19A8B4"/>
    <w:rsid w:val="6B2486C9"/>
    <w:rsid w:val="6B2739E0"/>
    <w:rsid w:val="6B27766B"/>
    <w:rsid w:val="6B31F211"/>
    <w:rsid w:val="6B3C3AA4"/>
    <w:rsid w:val="6B3FEB04"/>
    <w:rsid w:val="6B42A8D1"/>
    <w:rsid w:val="6B4B7989"/>
    <w:rsid w:val="6B4F361B"/>
    <w:rsid w:val="6B53D262"/>
    <w:rsid w:val="6B5A1FE4"/>
    <w:rsid w:val="6B5AFAEA"/>
    <w:rsid w:val="6B78003B"/>
    <w:rsid w:val="6B92C7C8"/>
    <w:rsid w:val="6B9B02E7"/>
    <w:rsid w:val="6B9F12F1"/>
    <w:rsid w:val="6BA78059"/>
    <w:rsid w:val="6BAC268E"/>
    <w:rsid w:val="6BB0C8F6"/>
    <w:rsid w:val="6BB4506B"/>
    <w:rsid w:val="6BD0BE15"/>
    <w:rsid w:val="6BD9AFA8"/>
    <w:rsid w:val="6BF10F8B"/>
    <w:rsid w:val="6BF307EF"/>
    <w:rsid w:val="6BFE4A30"/>
    <w:rsid w:val="6C0215A7"/>
    <w:rsid w:val="6C0C4AE2"/>
    <w:rsid w:val="6C0DB519"/>
    <w:rsid w:val="6C1F9695"/>
    <w:rsid w:val="6C287EE3"/>
    <w:rsid w:val="6C2D9EEB"/>
    <w:rsid w:val="6C33BD63"/>
    <w:rsid w:val="6C33F012"/>
    <w:rsid w:val="6C35324C"/>
    <w:rsid w:val="6C418AD2"/>
    <w:rsid w:val="6C4F702E"/>
    <w:rsid w:val="6C51B327"/>
    <w:rsid w:val="6C537801"/>
    <w:rsid w:val="6C560144"/>
    <w:rsid w:val="6C8123D3"/>
    <w:rsid w:val="6C8D41B0"/>
    <w:rsid w:val="6CA10D4F"/>
    <w:rsid w:val="6CA752A6"/>
    <w:rsid w:val="6CAAAF14"/>
    <w:rsid w:val="6CC2D809"/>
    <w:rsid w:val="6CC332C3"/>
    <w:rsid w:val="6CCF5DC5"/>
    <w:rsid w:val="6CCFD4CE"/>
    <w:rsid w:val="6CD26D91"/>
    <w:rsid w:val="6CD6676C"/>
    <w:rsid w:val="6D09CD77"/>
    <w:rsid w:val="6D1F4579"/>
    <w:rsid w:val="6D2806FC"/>
    <w:rsid w:val="6D2833B1"/>
    <w:rsid w:val="6D452D90"/>
    <w:rsid w:val="6D4E0DA2"/>
    <w:rsid w:val="6D50CAD1"/>
    <w:rsid w:val="6D576F3C"/>
    <w:rsid w:val="6D5BA9BB"/>
    <w:rsid w:val="6D69B2F9"/>
    <w:rsid w:val="6D785C24"/>
    <w:rsid w:val="6D804B90"/>
    <w:rsid w:val="6D8EDF8A"/>
    <w:rsid w:val="6DA6AD5C"/>
    <w:rsid w:val="6DB770C3"/>
    <w:rsid w:val="6DB7B9E8"/>
    <w:rsid w:val="6DC2A5DE"/>
    <w:rsid w:val="6DC6DC42"/>
    <w:rsid w:val="6DE87526"/>
    <w:rsid w:val="6DF1AEB0"/>
    <w:rsid w:val="6DF6D33C"/>
    <w:rsid w:val="6DF8D4C7"/>
    <w:rsid w:val="6E018A1B"/>
    <w:rsid w:val="6E113EAE"/>
    <w:rsid w:val="6E13EDCE"/>
    <w:rsid w:val="6E1C8B82"/>
    <w:rsid w:val="6E350BDA"/>
    <w:rsid w:val="6E378BA9"/>
    <w:rsid w:val="6E39F8AE"/>
    <w:rsid w:val="6E3C2233"/>
    <w:rsid w:val="6E46F856"/>
    <w:rsid w:val="6E558539"/>
    <w:rsid w:val="6E61013C"/>
    <w:rsid w:val="6E86D6DD"/>
    <w:rsid w:val="6E91B8A0"/>
    <w:rsid w:val="6E9416A8"/>
    <w:rsid w:val="6E94469A"/>
    <w:rsid w:val="6E95E697"/>
    <w:rsid w:val="6E9648C7"/>
    <w:rsid w:val="6E9970C2"/>
    <w:rsid w:val="6E9D5B58"/>
    <w:rsid w:val="6EA1F90B"/>
    <w:rsid w:val="6EA93F5C"/>
    <w:rsid w:val="6EB9C5F4"/>
    <w:rsid w:val="6EBF319A"/>
    <w:rsid w:val="6EBFA379"/>
    <w:rsid w:val="6EDED338"/>
    <w:rsid w:val="6EE1BB57"/>
    <w:rsid w:val="6EEB4D46"/>
    <w:rsid w:val="6EEEA4A3"/>
    <w:rsid w:val="6EF564DF"/>
    <w:rsid w:val="6F0C1735"/>
    <w:rsid w:val="6F145B28"/>
    <w:rsid w:val="6F2033EC"/>
    <w:rsid w:val="6F20D478"/>
    <w:rsid w:val="6F32983A"/>
    <w:rsid w:val="6F4281BE"/>
    <w:rsid w:val="6F49498B"/>
    <w:rsid w:val="6F5CBA64"/>
    <w:rsid w:val="6F629407"/>
    <w:rsid w:val="6F73CCA2"/>
    <w:rsid w:val="6F7C106F"/>
    <w:rsid w:val="6F885C89"/>
    <w:rsid w:val="6F90C5D7"/>
    <w:rsid w:val="6F914C2F"/>
    <w:rsid w:val="6F9D7B78"/>
    <w:rsid w:val="6FB345BB"/>
    <w:rsid w:val="6FB59379"/>
    <w:rsid w:val="6FB79F44"/>
    <w:rsid w:val="6FB9B794"/>
    <w:rsid w:val="6FD66F6C"/>
    <w:rsid w:val="6FDB58EE"/>
    <w:rsid w:val="6FDFC5C8"/>
    <w:rsid w:val="6FE9C2C8"/>
    <w:rsid w:val="6FFBE4AF"/>
    <w:rsid w:val="700253AD"/>
    <w:rsid w:val="70049FDB"/>
    <w:rsid w:val="700D43FA"/>
    <w:rsid w:val="700DC79B"/>
    <w:rsid w:val="7024B25B"/>
    <w:rsid w:val="70261E4D"/>
    <w:rsid w:val="7026D96E"/>
    <w:rsid w:val="7027ED2E"/>
    <w:rsid w:val="70367B43"/>
    <w:rsid w:val="703B8D97"/>
    <w:rsid w:val="703F0385"/>
    <w:rsid w:val="705871A6"/>
    <w:rsid w:val="705E610C"/>
    <w:rsid w:val="705FEAE3"/>
    <w:rsid w:val="7064E8B9"/>
    <w:rsid w:val="706C542A"/>
    <w:rsid w:val="706FDC55"/>
    <w:rsid w:val="708D0576"/>
    <w:rsid w:val="709ED207"/>
    <w:rsid w:val="70A25A93"/>
    <w:rsid w:val="70AD361D"/>
    <w:rsid w:val="70AE4FA1"/>
    <w:rsid w:val="70BCA8D1"/>
    <w:rsid w:val="70C3F504"/>
    <w:rsid w:val="70CCA95D"/>
    <w:rsid w:val="70D9E5F4"/>
    <w:rsid w:val="70DF8DB6"/>
    <w:rsid w:val="70ED9549"/>
    <w:rsid w:val="70F68439"/>
    <w:rsid w:val="70FC1570"/>
    <w:rsid w:val="71001E03"/>
    <w:rsid w:val="7100E663"/>
    <w:rsid w:val="71106C7F"/>
    <w:rsid w:val="711B5DBC"/>
    <w:rsid w:val="711B7861"/>
    <w:rsid w:val="71274249"/>
    <w:rsid w:val="7129750F"/>
    <w:rsid w:val="712E5C76"/>
    <w:rsid w:val="713C2856"/>
    <w:rsid w:val="713F3D5E"/>
    <w:rsid w:val="714455B1"/>
    <w:rsid w:val="7145E51D"/>
    <w:rsid w:val="714A3FF9"/>
    <w:rsid w:val="7157F8E8"/>
    <w:rsid w:val="7159F36C"/>
    <w:rsid w:val="7162B8D4"/>
    <w:rsid w:val="7168C5DF"/>
    <w:rsid w:val="71773B4D"/>
    <w:rsid w:val="71788519"/>
    <w:rsid w:val="717D7F11"/>
    <w:rsid w:val="717E21BE"/>
    <w:rsid w:val="7189F8F2"/>
    <w:rsid w:val="71A1EF67"/>
    <w:rsid w:val="71BC0FB5"/>
    <w:rsid w:val="71C3772A"/>
    <w:rsid w:val="71C82075"/>
    <w:rsid w:val="71CC6664"/>
    <w:rsid w:val="71CE926D"/>
    <w:rsid w:val="71CF1113"/>
    <w:rsid w:val="71D38DC9"/>
    <w:rsid w:val="71D854F2"/>
    <w:rsid w:val="71F757DF"/>
    <w:rsid w:val="7207C652"/>
    <w:rsid w:val="720859AE"/>
    <w:rsid w:val="720AF49A"/>
    <w:rsid w:val="720DBB69"/>
    <w:rsid w:val="7213E9E3"/>
    <w:rsid w:val="72181332"/>
    <w:rsid w:val="722E43BF"/>
    <w:rsid w:val="723388D5"/>
    <w:rsid w:val="723B2131"/>
    <w:rsid w:val="7242415E"/>
    <w:rsid w:val="72465643"/>
    <w:rsid w:val="7264F552"/>
    <w:rsid w:val="72699565"/>
    <w:rsid w:val="727ABE9B"/>
    <w:rsid w:val="728EDA89"/>
    <w:rsid w:val="729DFDDB"/>
    <w:rsid w:val="72A2A39C"/>
    <w:rsid w:val="72A84E34"/>
    <w:rsid w:val="72AA05D4"/>
    <w:rsid w:val="72B5C15C"/>
    <w:rsid w:val="72B8613B"/>
    <w:rsid w:val="72B98FA5"/>
    <w:rsid w:val="72BC75A7"/>
    <w:rsid w:val="72BCF47C"/>
    <w:rsid w:val="72BE06A3"/>
    <w:rsid w:val="72EC2753"/>
    <w:rsid w:val="72F824BF"/>
    <w:rsid w:val="72FDCC3E"/>
    <w:rsid w:val="72FDF8D7"/>
    <w:rsid w:val="730A151F"/>
    <w:rsid w:val="7323575E"/>
    <w:rsid w:val="73288D9E"/>
    <w:rsid w:val="732F7E4A"/>
    <w:rsid w:val="73496FE7"/>
    <w:rsid w:val="734BD54F"/>
    <w:rsid w:val="7364B677"/>
    <w:rsid w:val="73746D0D"/>
    <w:rsid w:val="7375E937"/>
    <w:rsid w:val="737A36E8"/>
    <w:rsid w:val="737EF3DB"/>
    <w:rsid w:val="737F9C8E"/>
    <w:rsid w:val="73943500"/>
    <w:rsid w:val="73A43FDD"/>
    <w:rsid w:val="73AC7C4E"/>
    <w:rsid w:val="73AECD8A"/>
    <w:rsid w:val="73AFC68A"/>
    <w:rsid w:val="73B5E0E1"/>
    <w:rsid w:val="73C618C3"/>
    <w:rsid w:val="73C74CC0"/>
    <w:rsid w:val="73CD4883"/>
    <w:rsid w:val="73D443EE"/>
    <w:rsid w:val="73D52398"/>
    <w:rsid w:val="73E4CB7E"/>
    <w:rsid w:val="73EB3B90"/>
    <w:rsid w:val="73EC3934"/>
    <w:rsid w:val="74029FD0"/>
    <w:rsid w:val="74104C65"/>
    <w:rsid w:val="7414FC9E"/>
    <w:rsid w:val="7436A6CE"/>
    <w:rsid w:val="7441C05D"/>
    <w:rsid w:val="744891FE"/>
    <w:rsid w:val="74632FCB"/>
    <w:rsid w:val="7469CE67"/>
    <w:rsid w:val="746A3195"/>
    <w:rsid w:val="746AEAC3"/>
    <w:rsid w:val="746CFA12"/>
    <w:rsid w:val="74702224"/>
    <w:rsid w:val="7471D1A3"/>
    <w:rsid w:val="748C0704"/>
    <w:rsid w:val="74A38B2A"/>
    <w:rsid w:val="74A41F04"/>
    <w:rsid w:val="74ACB283"/>
    <w:rsid w:val="74BAA650"/>
    <w:rsid w:val="74BEAD96"/>
    <w:rsid w:val="74D8E163"/>
    <w:rsid w:val="74E96437"/>
    <w:rsid w:val="74EAD3B6"/>
    <w:rsid w:val="74F35041"/>
    <w:rsid w:val="74F7F410"/>
    <w:rsid w:val="750F27EA"/>
    <w:rsid w:val="75142A9A"/>
    <w:rsid w:val="751C24E4"/>
    <w:rsid w:val="75211B9E"/>
    <w:rsid w:val="75351C2E"/>
    <w:rsid w:val="75363E0E"/>
    <w:rsid w:val="75369F5C"/>
    <w:rsid w:val="754329FA"/>
    <w:rsid w:val="754691BF"/>
    <w:rsid w:val="754832C0"/>
    <w:rsid w:val="754AB28E"/>
    <w:rsid w:val="75522431"/>
    <w:rsid w:val="755D4047"/>
    <w:rsid w:val="75600D77"/>
    <w:rsid w:val="75605241"/>
    <w:rsid w:val="7569D2A4"/>
    <w:rsid w:val="756BA337"/>
    <w:rsid w:val="756DB06A"/>
    <w:rsid w:val="7574AB7D"/>
    <w:rsid w:val="75752F61"/>
    <w:rsid w:val="757742DA"/>
    <w:rsid w:val="7578E46D"/>
    <w:rsid w:val="757BCDEE"/>
    <w:rsid w:val="757D3325"/>
    <w:rsid w:val="7591AA79"/>
    <w:rsid w:val="7598BB57"/>
    <w:rsid w:val="7599D114"/>
    <w:rsid w:val="75BA0089"/>
    <w:rsid w:val="75BCA84D"/>
    <w:rsid w:val="75BEB33E"/>
    <w:rsid w:val="75C9D253"/>
    <w:rsid w:val="75CAC865"/>
    <w:rsid w:val="75DD21F6"/>
    <w:rsid w:val="75EE4838"/>
    <w:rsid w:val="75F0116A"/>
    <w:rsid w:val="75F244B3"/>
    <w:rsid w:val="75F6BE37"/>
    <w:rsid w:val="75FD35FB"/>
    <w:rsid w:val="75FFCAB8"/>
    <w:rsid w:val="76034F4E"/>
    <w:rsid w:val="7606D5AF"/>
    <w:rsid w:val="760CF5B3"/>
    <w:rsid w:val="76228D52"/>
    <w:rsid w:val="7641A73A"/>
    <w:rsid w:val="76468886"/>
    <w:rsid w:val="764D2B40"/>
    <w:rsid w:val="765787B2"/>
    <w:rsid w:val="765A4032"/>
    <w:rsid w:val="76630E02"/>
    <w:rsid w:val="7687DEF1"/>
    <w:rsid w:val="76981969"/>
    <w:rsid w:val="769D28D7"/>
    <w:rsid w:val="76A2B32B"/>
    <w:rsid w:val="76A8C0D4"/>
    <w:rsid w:val="76B0BFE9"/>
    <w:rsid w:val="76B35560"/>
    <w:rsid w:val="76B77E08"/>
    <w:rsid w:val="76B9C001"/>
    <w:rsid w:val="76D167EF"/>
    <w:rsid w:val="76DB4E9C"/>
    <w:rsid w:val="76DC3A40"/>
    <w:rsid w:val="76E696E4"/>
    <w:rsid w:val="76EB5609"/>
    <w:rsid w:val="76F7BD4C"/>
    <w:rsid w:val="7708D561"/>
    <w:rsid w:val="770913A9"/>
    <w:rsid w:val="770CF509"/>
    <w:rsid w:val="771644C6"/>
    <w:rsid w:val="771DE88A"/>
    <w:rsid w:val="772417B7"/>
    <w:rsid w:val="772B9491"/>
    <w:rsid w:val="772F92DE"/>
    <w:rsid w:val="774938D4"/>
    <w:rsid w:val="77498B04"/>
    <w:rsid w:val="7750C7AE"/>
    <w:rsid w:val="7764677C"/>
    <w:rsid w:val="7786D87A"/>
    <w:rsid w:val="7794BC03"/>
    <w:rsid w:val="779ED13F"/>
    <w:rsid w:val="77B116C5"/>
    <w:rsid w:val="77B3128B"/>
    <w:rsid w:val="77CB51E9"/>
    <w:rsid w:val="77DDF0D2"/>
    <w:rsid w:val="77ED43B8"/>
    <w:rsid w:val="77EFEBD6"/>
    <w:rsid w:val="77FA3965"/>
    <w:rsid w:val="78087A17"/>
    <w:rsid w:val="780B24AE"/>
    <w:rsid w:val="781F9DFB"/>
    <w:rsid w:val="783263C6"/>
    <w:rsid w:val="7834CE85"/>
    <w:rsid w:val="7848BB40"/>
    <w:rsid w:val="784CCB19"/>
    <w:rsid w:val="784D8C5F"/>
    <w:rsid w:val="78538E12"/>
    <w:rsid w:val="78597AC7"/>
    <w:rsid w:val="7860702A"/>
    <w:rsid w:val="78637AC8"/>
    <w:rsid w:val="78639DCB"/>
    <w:rsid w:val="7870A5C6"/>
    <w:rsid w:val="78742693"/>
    <w:rsid w:val="78993880"/>
    <w:rsid w:val="789952B2"/>
    <w:rsid w:val="789B7ED9"/>
    <w:rsid w:val="78B424B3"/>
    <w:rsid w:val="78B66EE8"/>
    <w:rsid w:val="78BD2DB5"/>
    <w:rsid w:val="78BECFD1"/>
    <w:rsid w:val="78CD170F"/>
    <w:rsid w:val="78D64B61"/>
    <w:rsid w:val="78D678F0"/>
    <w:rsid w:val="791BDA62"/>
    <w:rsid w:val="792401E6"/>
    <w:rsid w:val="7925E652"/>
    <w:rsid w:val="7926E048"/>
    <w:rsid w:val="7929539B"/>
    <w:rsid w:val="792AC71F"/>
    <w:rsid w:val="793CE341"/>
    <w:rsid w:val="793FDFD1"/>
    <w:rsid w:val="7940D58D"/>
    <w:rsid w:val="7942B3DC"/>
    <w:rsid w:val="794862E2"/>
    <w:rsid w:val="794D00B6"/>
    <w:rsid w:val="794E3A8E"/>
    <w:rsid w:val="794EB62F"/>
    <w:rsid w:val="79565A69"/>
    <w:rsid w:val="7957EB78"/>
    <w:rsid w:val="796D3037"/>
    <w:rsid w:val="7981E639"/>
    <w:rsid w:val="7985C185"/>
    <w:rsid w:val="798648D4"/>
    <w:rsid w:val="7995BCAE"/>
    <w:rsid w:val="799CFFBF"/>
    <w:rsid w:val="79ADB89C"/>
    <w:rsid w:val="79B1A09E"/>
    <w:rsid w:val="79D8F710"/>
    <w:rsid w:val="79E858B9"/>
    <w:rsid w:val="79EB1ADC"/>
    <w:rsid w:val="7A008C5D"/>
    <w:rsid w:val="7A078584"/>
    <w:rsid w:val="7A0C7627"/>
    <w:rsid w:val="7A11F402"/>
    <w:rsid w:val="7A14C3A7"/>
    <w:rsid w:val="7A17E902"/>
    <w:rsid w:val="7A1BEEC9"/>
    <w:rsid w:val="7A214DE9"/>
    <w:rsid w:val="7A288FCB"/>
    <w:rsid w:val="7A2C8AF5"/>
    <w:rsid w:val="7A37016F"/>
    <w:rsid w:val="7A3A5084"/>
    <w:rsid w:val="7A3C0CC3"/>
    <w:rsid w:val="7A50B03D"/>
    <w:rsid w:val="7A5A0BB9"/>
    <w:rsid w:val="7A6735F2"/>
    <w:rsid w:val="7A6857E8"/>
    <w:rsid w:val="7A708DDB"/>
    <w:rsid w:val="7A81CF2F"/>
    <w:rsid w:val="7A8575D2"/>
    <w:rsid w:val="7A8F828B"/>
    <w:rsid w:val="7A97361E"/>
    <w:rsid w:val="7AAC249F"/>
    <w:rsid w:val="7AB22552"/>
    <w:rsid w:val="7AB55876"/>
    <w:rsid w:val="7AC5EB56"/>
    <w:rsid w:val="7AD9F9D6"/>
    <w:rsid w:val="7ADADE4A"/>
    <w:rsid w:val="7ADD72EC"/>
    <w:rsid w:val="7AE2C39A"/>
    <w:rsid w:val="7AE4B4CE"/>
    <w:rsid w:val="7AFFC23C"/>
    <w:rsid w:val="7B0AF97E"/>
    <w:rsid w:val="7B0B9AE5"/>
    <w:rsid w:val="7B102DF9"/>
    <w:rsid w:val="7B16A228"/>
    <w:rsid w:val="7B16BFF6"/>
    <w:rsid w:val="7B21D072"/>
    <w:rsid w:val="7B2367E2"/>
    <w:rsid w:val="7B36B9F5"/>
    <w:rsid w:val="7B37C355"/>
    <w:rsid w:val="7B39C1B4"/>
    <w:rsid w:val="7B42AE44"/>
    <w:rsid w:val="7B43ED06"/>
    <w:rsid w:val="7B4AD83F"/>
    <w:rsid w:val="7B4DD228"/>
    <w:rsid w:val="7B4FEE8F"/>
    <w:rsid w:val="7B558E5B"/>
    <w:rsid w:val="7B6E474B"/>
    <w:rsid w:val="7B749540"/>
    <w:rsid w:val="7B77D529"/>
    <w:rsid w:val="7B937FCD"/>
    <w:rsid w:val="7B9B44CD"/>
    <w:rsid w:val="7BA13DEA"/>
    <w:rsid w:val="7BB0A1D1"/>
    <w:rsid w:val="7BBDD8A8"/>
    <w:rsid w:val="7BCCFED4"/>
    <w:rsid w:val="7BDEF22A"/>
    <w:rsid w:val="7BE38B5F"/>
    <w:rsid w:val="7BEE1E46"/>
    <w:rsid w:val="7BFBBD8E"/>
    <w:rsid w:val="7BFD4E40"/>
    <w:rsid w:val="7BFEB7B9"/>
    <w:rsid w:val="7C1A7578"/>
    <w:rsid w:val="7C2F186F"/>
    <w:rsid w:val="7C341DAF"/>
    <w:rsid w:val="7C558222"/>
    <w:rsid w:val="7C5A577B"/>
    <w:rsid w:val="7C5C969F"/>
    <w:rsid w:val="7C677908"/>
    <w:rsid w:val="7C6C7573"/>
    <w:rsid w:val="7C6FF24F"/>
    <w:rsid w:val="7C72DFFC"/>
    <w:rsid w:val="7C88E184"/>
    <w:rsid w:val="7C907910"/>
    <w:rsid w:val="7C9AC351"/>
    <w:rsid w:val="7CA0BDAC"/>
    <w:rsid w:val="7CA3AB1F"/>
    <w:rsid w:val="7CA9BE55"/>
    <w:rsid w:val="7CB72716"/>
    <w:rsid w:val="7CBB252A"/>
    <w:rsid w:val="7CC480B7"/>
    <w:rsid w:val="7CD15724"/>
    <w:rsid w:val="7CE2A9B7"/>
    <w:rsid w:val="7CE5F0AF"/>
    <w:rsid w:val="7CF09577"/>
    <w:rsid w:val="7CF7AAED"/>
    <w:rsid w:val="7CFFFDBF"/>
    <w:rsid w:val="7D013A39"/>
    <w:rsid w:val="7D0B6553"/>
    <w:rsid w:val="7D1E1FE4"/>
    <w:rsid w:val="7D23610C"/>
    <w:rsid w:val="7D6B316A"/>
    <w:rsid w:val="7D6B62E4"/>
    <w:rsid w:val="7D6B6DBD"/>
    <w:rsid w:val="7D6BACE5"/>
    <w:rsid w:val="7D6BD171"/>
    <w:rsid w:val="7D6D5419"/>
    <w:rsid w:val="7D784B5C"/>
    <w:rsid w:val="7D80721A"/>
    <w:rsid w:val="7D8206CF"/>
    <w:rsid w:val="7DA645F6"/>
    <w:rsid w:val="7DB00260"/>
    <w:rsid w:val="7DB2D0CF"/>
    <w:rsid w:val="7DB5F760"/>
    <w:rsid w:val="7DBF7445"/>
    <w:rsid w:val="7DC643F4"/>
    <w:rsid w:val="7DC6E983"/>
    <w:rsid w:val="7DCA0AB8"/>
    <w:rsid w:val="7DD0A1B0"/>
    <w:rsid w:val="7DD7F6F4"/>
    <w:rsid w:val="7DD83963"/>
    <w:rsid w:val="7DE32119"/>
    <w:rsid w:val="7DF3308C"/>
    <w:rsid w:val="7DFE3F46"/>
    <w:rsid w:val="7E17A2B7"/>
    <w:rsid w:val="7E3F78B4"/>
    <w:rsid w:val="7E456A10"/>
    <w:rsid w:val="7E48AA74"/>
    <w:rsid w:val="7E52A73D"/>
    <w:rsid w:val="7E5BC75D"/>
    <w:rsid w:val="7E5DE658"/>
    <w:rsid w:val="7E6BDC79"/>
    <w:rsid w:val="7E75E80D"/>
    <w:rsid w:val="7E7681D1"/>
    <w:rsid w:val="7E7F9FEC"/>
    <w:rsid w:val="7E87A7C6"/>
    <w:rsid w:val="7E8A6986"/>
    <w:rsid w:val="7E933FE0"/>
    <w:rsid w:val="7E94459A"/>
    <w:rsid w:val="7E969446"/>
    <w:rsid w:val="7E998065"/>
    <w:rsid w:val="7EA6E4CF"/>
    <w:rsid w:val="7EAB2971"/>
    <w:rsid w:val="7EB39FE4"/>
    <w:rsid w:val="7EB6A68F"/>
    <w:rsid w:val="7EB7E103"/>
    <w:rsid w:val="7EC12022"/>
    <w:rsid w:val="7EC14CE8"/>
    <w:rsid w:val="7EC2FD56"/>
    <w:rsid w:val="7ECA24C2"/>
    <w:rsid w:val="7EDBEC60"/>
    <w:rsid w:val="7EE2D01E"/>
    <w:rsid w:val="7EE72ACF"/>
    <w:rsid w:val="7EEF54A5"/>
    <w:rsid w:val="7EF27892"/>
    <w:rsid w:val="7F047079"/>
    <w:rsid w:val="7F0A3D13"/>
    <w:rsid w:val="7F118A3A"/>
    <w:rsid w:val="7F129E15"/>
    <w:rsid w:val="7F12FE04"/>
    <w:rsid w:val="7F199C52"/>
    <w:rsid w:val="7F1EA62C"/>
    <w:rsid w:val="7F2CABAC"/>
    <w:rsid w:val="7F310DB4"/>
    <w:rsid w:val="7F357069"/>
    <w:rsid w:val="7F3738D9"/>
    <w:rsid w:val="7F382163"/>
    <w:rsid w:val="7F42AF48"/>
    <w:rsid w:val="7F4D8B3B"/>
    <w:rsid w:val="7F4E56E4"/>
    <w:rsid w:val="7F5417F3"/>
    <w:rsid w:val="7F5BCE26"/>
    <w:rsid w:val="7F676A2E"/>
    <w:rsid w:val="7F725D5E"/>
    <w:rsid w:val="7F7FBF33"/>
    <w:rsid w:val="7F81DF7B"/>
    <w:rsid w:val="7FA72C30"/>
    <w:rsid w:val="7FBC112D"/>
    <w:rsid w:val="7FBD8BB3"/>
    <w:rsid w:val="7FC5B79A"/>
    <w:rsid w:val="7FDBAB32"/>
    <w:rsid w:val="7FEDE4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E3AB744"/>
  <w15:chartTrackingRefBased/>
  <w15:docId w15:val="{8F1B5695-3B64-43E5-9CE1-0C59F39C3D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7B6542"/>
    <w:rPr>
      <w:rFonts w:ascii="Calibri" w:hAnsi="Calibri" w:cs="Calibri"/>
    </w:rPr>
  </w:style>
  <w:style w:type="paragraph" w:styleId="Heading1">
    <w:name w:val="heading 1"/>
    <w:basedOn w:val="Normal"/>
    <w:next w:val="Normal"/>
    <w:link w:val="Heading1Char"/>
    <w:uiPriority w:val="9"/>
    <w:qFormat/>
    <w:rsid w:val="005A3CE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2FE4"/>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2BEE"/>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E4C67"/>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E4C67"/>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4B19F8"/>
    <w:pPr>
      <w:keepNext/>
      <w:keepLines/>
      <w:spacing w:before="4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782FE4"/>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612BEE"/>
    <w:rPr>
      <w:rFonts w:asciiTheme="majorHAnsi" w:hAnsiTheme="majorHAnsi" w:eastAsiaTheme="majorEastAsia" w:cstheme="majorBidi"/>
      <w:color w:val="1F3763" w:themeColor="accent1" w:themeShade="7F"/>
      <w:sz w:val="24"/>
      <w:szCs w:val="24"/>
    </w:rPr>
  </w:style>
  <w:style w:type="character" w:styleId="Hyperlink">
    <w:name w:val="Hyperlink"/>
    <w:basedOn w:val="DefaultParagraphFont"/>
    <w:uiPriority w:val="99"/>
    <w:unhideWhenUsed/>
    <w:rsid w:val="00612BEE"/>
    <w:rPr>
      <w:color w:val="0563C1" w:themeColor="hyperlink"/>
      <w:u w:val="single"/>
    </w:rPr>
  </w:style>
  <w:style w:type="character" w:styleId="UnresolvedMention1" w:customStyle="1">
    <w:name w:val="Unresolved Mention1"/>
    <w:basedOn w:val="DefaultParagraphFont"/>
    <w:uiPriority w:val="99"/>
    <w:semiHidden/>
    <w:unhideWhenUsed/>
    <w:rsid w:val="00612BEE"/>
    <w:rPr>
      <w:color w:val="605E5C"/>
      <w:shd w:val="clear" w:color="auto" w:fill="E1DFDD"/>
    </w:rPr>
  </w:style>
  <w:style w:type="paragraph" w:styleId="Header">
    <w:name w:val="header"/>
    <w:basedOn w:val="Normal"/>
    <w:link w:val="HeaderChar"/>
    <w:uiPriority w:val="99"/>
    <w:unhideWhenUsed/>
    <w:rsid w:val="00C11DA1"/>
    <w:pPr>
      <w:tabs>
        <w:tab w:val="center" w:pos="4680"/>
        <w:tab w:val="right" w:pos="9360"/>
      </w:tabs>
    </w:pPr>
  </w:style>
  <w:style w:type="character" w:styleId="HeaderChar" w:customStyle="1">
    <w:name w:val="Header Char"/>
    <w:basedOn w:val="DefaultParagraphFont"/>
    <w:link w:val="Header"/>
    <w:uiPriority w:val="99"/>
    <w:rsid w:val="00C11DA1"/>
    <w:rPr>
      <w:rFonts w:ascii="Calibri" w:hAnsi="Calibri" w:cs="Calibri"/>
    </w:rPr>
  </w:style>
  <w:style w:type="paragraph" w:styleId="Footer">
    <w:name w:val="footer"/>
    <w:basedOn w:val="Normal"/>
    <w:link w:val="FooterChar"/>
    <w:uiPriority w:val="99"/>
    <w:unhideWhenUsed/>
    <w:rsid w:val="00C11DA1"/>
    <w:pPr>
      <w:tabs>
        <w:tab w:val="center" w:pos="4680"/>
        <w:tab w:val="right" w:pos="9360"/>
      </w:tabs>
    </w:pPr>
  </w:style>
  <w:style w:type="character" w:styleId="FooterChar" w:customStyle="1">
    <w:name w:val="Footer Char"/>
    <w:basedOn w:val="DefaultParagraphFont"/>
    <w:link w:val="Footer"/>
    <w:uiPriority w:val="99"/>
    <w:rsid w:val="00C11DA1"/>
    <w:rPr>
      <w:rFonts w:ascii="Calibri" w:hAnsi="Calibri" w:cs="Calibri"/>
    </w:rPr>
  </w:style>
  <w:style w:type="character" w:styleId="Heading1Char" w:customStyle="1">
    <w:name w:val="Heading 1 Char"/>
    <w:basedOn w:val="DefaultParagraphFont"/>
    <w:link w:val="Heading1"/>
    <w:uiPriority w:val="9"/>
    <w:rsid w:val="005A3CEE"/>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5A3CEE"/>
    <w:pPr>
      <w:spacing w:line="259" w:lineRule="auto"/>
      <w:outlineLvl w:val="9"/>
    </w:pPr>
  </w:style>
  <w:style w:type="paragraph" w:styleId="TOC2">
    <w:name w:val="toc 2"/>
    <w:basedOn w:val="Normal"/>
    <w:next w:val="Normal"/>
    <w:autoRedefine/>
    <w:uiPriority w:val="39"/>
    <w:unhideWhenUsed/>
    <w:rsid w:val="00CF72AB"/>
    <w:pPr>
      <w:tabs>
        <w:tab w:val="right" w:leader="dot" w:pos="10070"/>
      </w:tabs>
      <w:spacing w:after="100"/>
      <w:ind w:left="220"/>
    </w:pPr>
  </w:style>
  <w:style w:type="paragraph" w:styleId="TOC3">
    <w:name w:val="toc 3"/>
    <w:basedOn w:val="Normal"/>
    <w:next w:val="Normal"/>
    <w:autoRedefine/>
    <w:uiPriority w:val="39"/>
    <w:unhideWhenUsed/>
    <w:rsid w:val="005E1E24"/>
    <w:pPr>
      <w:tabs>
        <w:tab w:val="right" w:leader="dot" w:pos="10070"/>
      </w:tabs>
      <w:spacing w:after="100"/>
      <w:ind w:left="440"/>
    </w:pPr>
  </w:style>
  <w:style w:type="paragraph" w:styleId="BalloonText">
    <w:name w:val="Balloon Text"/>
    <w:basedOn w:val="Normal"/>
    <w:link w:val="BalloonTextChar"/>
    <w:uiPriority w:val="99"/>
    <w:semiHidden/>
    <w:unhideWhenUsed/>
    <w:rsid w:val="005A3CEE"/>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A3CEE"/>
    <w:rPr>
      <w:rFonts w:ascii="Segoe UI" w:hAnsi="Segoe UI" w:cs="Segoe UI"/>
      <w:sz w:val="18"/>
      <w:szCs w:val="18"/>
    </w:rPr>
  </w:style>
  <w:style w:type="paragraph" w:styleId="ListParagraph">
    <w:name w:val="List Paragraph"/>
    <w:aliases w:val="List Paragraph (numbered (a)),List Paragraph Char Char Char,Use Case List Paragraph,List Paragraph2"/>
    <w:basedOn w:val="Normal"/>
    <w:link w:val="ListParagraphChar"/>
    <w:uiPriority w:val="34"/>
    <w:qFormat/>
    <w:rsid w:val="00337CCF"/>
    <w:pPr>
      <w:ind w:left="720"/>
      <w:contextualSpacing/>
    </w:pPr>
  </w:style>
  <w:style w:type="paragraph" w:styleId="FootnoteText">
    <w:name w:val="footnote text"/>
    <w:aliases w:val="Lábjegyzet-szöveg,Footnote Text Blue,Footnote Text1,Char,single space,ft,footnote text Char,Tegn1,Tegn1 Char,Char Char Char,Footnote Text Char2 Char Char,Footnote Text Char Char2 Char Char,footnote text,Fußnote,fn,Footnote Text Char1"/>
    <w:basedOn w:val="Normal"/>
    <w:link w:val="FootnoteTextChar"/>
    <w:uiPriority w:val="99"/>
    <w:unhideWhenUsed/>
    <w:qFormat/>
    <w:rsid w:val="00502305"/>
    <w:rPr>
      <w:rFonts w:asciiTheme="minorHAnsi" w:hAnsiTheme="minorHAnsi" w:cstheme="minorBidi"/>
      <w:sz w:val="20"/>
      <w:szCs w:val="20"/>
      <w:lang w:val="en-GB"/>
    </w:rPr>
  </w:style>
  <w:style w:type="character" w:styleId="FootnoteTextChar" w:customStyle="1">
    <w:name w:val="Footnote Text Char"/>
    <w:aliases w:val="Lábjegyzet-szöveg Char,Footnote Text Blue Char,Footnote Text1 Char,Char Char,single space Char,ft Char,footnote text Char Char,Tegn1 Char1,Tegn1 Char Char,Char Char Char Char,Footnote Text Char2 Char Char Char,footnote text Char1"/>
    <w:basedOn w:val="DefaultParagraphFont"/>
    <w:link w:val="FootnoteText"/>
    <w:uiPriority w:val="99"/>
    <w:qFormat/>
    <w:rsid w:val="00502305"/>
    <w:rPr>
      <w:sz w:val="20"/>
      <w:szCs w:val="20"/>
      <w:lang w:val="en-GB"/>
    </w:rPr>
  </w:style>
  <w:style w:type="character" w:styleId="FootnoteReference">
    <w:name w:val="footnote reference"/>
    <w:aliases w:val="ftref,16 Point,Superscript 6 Point,BVI fnr,Footnote Reference Number,nota pié di pagina,Footnote symbol,Footnote reference number,Times 10 Point,Exposant 3 Point,EN Footnote Reference,note TESI,Footnote Reference Char Char Char,fr,f"/>
    <w:basedOn w:val="DefaultParagraphFont"/>
    <w:link w:val="Char2"/>
    <w:uiPriority w:val="99"/>
    <w:unhideWhenUsed/>
    <w:qFormat/>
    <w:rsid w:val="00502305"/>
    <w:rPr>
      <w:vertAlign w:val="superscript"/>
    </w:rPr>
  </w:style>
  <w:style w:type="table" w:styleId="TableGrid">
    <w:name w:val="Table Grid"/>
    <w:basedOn w:val="TableNormal"/>
    <w:uiPriority w:val="39"/>
    <w:rsid w:val="00A32001"/>
    <w:tblPr/>
  </w:style>
  <w:style w:type="character" w:styleId="CommentReference">
    <w:name w:val="Comment Reference"/>
    <w:basedOn w:val="DefaultParagraphFont"/>
    <w:uiPriority w:val="99"/>
    <w:semiHidden/>
    <w:unhideWhenUsed/>
    <w:rsid w:val="002D1D13"/>
    <w:rPr>
      <w:sz w:val="16"/>
      <w:szCs w:val="16"/>
    </w:rPr>
  </w:style>
  <w:style w:type="paragraph" w:styleId="CommentText">
    <w:name w:val="Comment Text"/>
    <w:basedOn w:val="Normal"/>
    <w:link w:val="CommentTextChar"/>
    <w:uiPriority w:val="99"/>
    <w:unhideWhenUsed/>
    <w:rsid w:val="002D1D13"/>
    <w:rPr>
      <w:sz w:val="20"/>
      <w:szCs w:val="20"/>
    </w:rPr>
  </w:style>
  <w:style w:type="character" w:styleId="CommentTextChar" w:customStyle="1">
    <w:name w:val="Comment Text Char"/>
    <w:basedOn w:val="DefaultParagraphFont"/>
    <w:link w:val="CommentText"/>
    <w:uiPriority w:val="99"/>
    <w:rsid w:val="002D1D13"/>
    <w:rPr>
      <w:rFonts w:ascii="Calibri" w:hAnsi="Calibri" w:cs="Calibri"/>
      <w:sz w:val="20"/>
      <w:szCs w:val="20"/>
    </w:rPr>
  </w:style>
  <w:style w:type="paragraph" w:styleId="CommentSubject">
    <w:name w:val="Comment Subject"/>
    <w:basedOn w:val="CommentText"/>
    <w:next w:val="CommentText"/>
    <w:link w:val="CommentSubjectChar"/>
    <w:uiPriority w:val="99"/>
    <w:semiHidden/>
    <w:unhideWhenUsed/>
    <w:rsid w:val="002D1D13"/>
    <w:rPr>
      <w:b/>
      <w:bCs/>
    </w:rPr>
  </w:style>
  <w:style w:type="character" w:styleId="CommentSubjectChar" w:customStyle="1">
    <w:name w:val="Comment Subject Char"/>
    <w:basedOn w:val="CommentTextChar"/>
    <w:link w:val="CommentSubject"/>
    <w:uiPriority w:val="99"/>
    <w:semiHidden/>
    <w:rsid w:val="002D1D13"/>
    <w:rPr>
      <w:rFonts w:ascii="Calibri" w:hAnsi="Calibri" w:cs="Calibri"/>
      <w:b/>
      <w:bCs/>
      <w:sz w:val="20"/>
      <w:szCs w:val="20"/>
    </w:rPr>
  </w:style>
  <w:style w:type="character" w:styleId="UnresolvedMention">
    <w:name w:val="Unresolved Mention"/>
    <w:basedOn w:val="DefaultParagraphFont"/>
    <w:uiPriority w:val="99"/>
    <w:rsid w:val="006F66B1"/>
    <w:rPr>
      <w:color w:val="605E5C"/>
      <w:shd w:val="clear" w:color="auto" w:fill="E1DFDD"/>
    </w:rPr>
  </w:style>
  <w:style w:type="paragraph" w:styleId="Char2" w:customStyle="1">
    <w:name w:val="Char2"/>
    <w:basedOn w:val="Normal"/>
    <w:link w:val="FootnoteReference"/>
    <w:uiPriority w:val="99"/>
    <w:rsid w:val="007756E8"/>
    <w:pPr>
      <w:spacing w:after="160" w:line="240" w:lineRule="exact"/>
      <w:jc w:val="both"/>
    </w:pPr>
    <w:rPr>
      <w:rFonts w:asciiTheme="minorHAnsi" w:hAnsiTheme="minorHAnsi" w:cstheme="minorBidi"/>
      <w:vertAlign w:val="superscript"/>
    </w:rPr>
  </w:style>
  <w:style w:type="table" w:styleId="Calendar2" w:customStyle="1">
    <w:name w:val="Calendar 2"/>
    <w:basedOn w:val="TableNormal"/>
    <w:uiPriority w:val="99"/>
    <w:qFormat/>
    <w:rsid w:val="00073765"/>
    <w:pPr>
      <w:jc w:val="center"/>
    </w:pPr>
    <w:rPr>
      <w:rFonts w:eastAsiaTheme="minorEastAsia"/>
      <w:sz w:val="28"/>
      <w:szCs w:val="28"/>
    </w:rPr>
    <w:tblPr/>
    <w:tblStylePr w:type="firstRow">
      <w:rPr>
        <w:rFonts w:asciiTheme="majorHAnsi" w:hAnsiTheme="majorHAnsi"/>
        <w:b w:val="0"/>
        <w:i w:val="0"/>
        <w:caps/>
        <w:smallCaps w:val="0"/>
        <w:color w:val="4472C4" w:themeColor="accent1"/>
        <w:spacing w:val="20"/>
        <w:sz w:val="32"/>
      </w:rPr>
    </w:tblStylePr>
  </w:style>
  <w:style w:type="character" w:styleId="ListParagraphChar" w:customStyle="1">
    <w:name w:val="List Paragraph Char"/>
    <w:aliases w:val="List Paragraph (numbered (a)) Char,List Paragraph Char Char Char Char,Use Case List Paragraph Char,List Paragraph2 Char"/>
    <w:link w:val="ListParagraph"/>
    <w:uiPriority w:val="34"/>
    <w:locked/>
    <w:rsid w:val="00073765"/>
    <w:rPr>
      <w:rFonts w:ascii="Calibri" w:hAnsi="Calibri" w:cs="Calibri"/>
    </w:rPr>
  </w:style>
  <w:style w:type="paragraph" w:styleId="Caption">
    <w:name w:val="caption"/>
    <w:basedOn w:val="Normal"/>
    <w:next w:val="Normal"/>
    <w:uiPriority w:val="35"/>
    <w:unhideWhenUsed/>
    <w:qFormat/>
    <w:rsid w:val="00932FF2"/>
    <w:pPr>
      <w:spacing w:after="200"/>
    </w:pPr>
    <w:rPr>
      <w:i/>
      <w:iCs/>
      <w:color w:val="44546A" w:themeColor="text2"/>
      <w:sz w:val="18"/>
      <w:szCs w:val="18"/>
    </w:rPr>
  </w:style>
  <w:style w:type="paragraph" w:styleId="Default" w:customStyle="1">
    <w:name w:val="Default"/>
    <w:rsid w:val="008D3149"/>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B2D1C"/>
    <w:rPr>
      <w:color w:val="954F72" w:themeColor="followedHyperlink"/>
      <w:u w:val="single"/>
    </w:rPr>
  </w:style>
  <w:style w:type="table" w:styleId="TableGrid1" w:customStyle="1">
    <w:name w:val="Table Grid1"/>
    <w:basedOn w:val="TableNormal"/>
    <w:next w:val="TableGrid"/>
    <w:uiPriority w:val="39"/>
    <w:rsid w:val="002B0DF6"/>
    <w:tblPr/>
  </w:style>
  <w:style w:type="paragraph" w:styleId="paragraph" w:customStyle="1">
    <w:name w:val="paragraph"/>
    <w:basedOn w:val="Normal"/>
    <w:rsid w:val="002B0DF6"/>
    <w:pPr>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2B0DF6"/>
  </w:style>
  <w:style w:type="character" w:styleId="eop" w:customStyle="1">
    <w:name w:val="eop"/>
    <w:basedOn w:val="DefaultParagraphFont"/>
    <w:rsid w:val="002B0DF6"/>
  </w:style>
  <w:style w:type="table" w:styleId="GridTable1Light">
    <w:name w:val="Grid Table 1 Light"/>
    <w:basedOn w:val="TableNormal"/>
    <w:uiPriority w:val="46"/>
    <w:rsid w:val="002B0DF6"/>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811B4"/>
    <w:rPr>
      <w:color w:val="2B579A"/>
      <w:shd w:val="clear" w:color="auto" w:fill="E1DFDD"/>
    </w:rPr>
  </w:style>
  <w:style w:type="paragraph" w:styleId="Revision">
    <w:name w:val="Revision"/>
    <w:hidden/>
    <w:uiPriority w:val="99"/>
    <w:semiHidden/>
    <w:rsid w:val="004D0D40"/>
    <w:rPr>
      <w:rFonts w:ascii="Calibri" w:hAnsi="Calibri" w:cs="Calibri"/>
    </w:rPr>
  </w:style>
  <w:style w:type="table" w:styleId="GridTable1Light-Accent51" w:customStyle="1">
    <w:name w:val="Grid Table 1 Light - Accent 51"/>
    <w:basedOn w:val="TableNormal"/>
    <w:uiPriority w:val="46"/>
    <w:rsid w:val="00D51B02"/>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paragraph" w:styleId="NoSpacing">
    <w:name w:val="No Spacing"/>
    <w:uiPriority w:val="1"/>
    <w:qFormat/>
    <w:rsid w:val="00F002E9"/>
    <w:rPr>
      <w:rFonts w:ascii="Calibri" w:hAnsi="Calibri" w:cs="Calibri"/>
    </w:rPr>
  </w:style>
  <w:style w:type="table" w:styleId="TableGrid2" w:customStyle="1">
    <w:name w:val="Table Grid2"/>
    <w:basedOn w:val="TableNormal"/>
    <w:next w:val="TableGrid"/>
    <w:uiPriority w:val="39"/>
    <w:rsid w:val="009F3304"/>
    <w:tblPr/>
  </w:style>
  <w:style w:type="character" w:styleId="Heading4Char" w:customStyle="1">
    <w:name w:val="Heading 4 Char"/>
    <w:basedOn w:val="DefaultParagraphFont"/>
    <w:link w:val="Heading4"/>
    <w:uiPriority w:val="9"/>
    <w:rsid w:val="00CE4C67"/>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CE4C67"/>
    <w:rPr>
      <w:rFonts w:asciiTheme="majorHAnsi" w:hAnsiTheme="majorHAnsi" w:eastAsiaTheme="majorEastAsia" w:cstheme="majorBidi"/>
      <w:color w:val="2F5496" w:themeColor="accent1" w:themeShade="BF"/>
    </w:rPr>
  </w:style>
  <w:style w:type="character" w:styleId="cf01" w:customStyle="1">
    <w:name w:val="cf01"/>
    <w:basedOn w:val="DefaultParagraphFont"/>
    <w:rsid w:val="00C53101"/>
    <w:rPr>
      <w:rFonts w:hint="default" w:ascii="Segoe UI" w:hAnsi="Segoe UI" w:cs="Segoe UI"/>
      <w:sz w:val="18"/>
      <w:szCs w:val="18"/>
    </w:rPr>
  </w:style>
  <w:style w:type="character" w:styleId="Heading6Char" w:customStyle="1">
    <w:name w:val="Heading 6 Char"/>
    <w:basedOn w:val="DefaultParagraphFont"/>
    <w:link w:val="Heading6"/>
    <w:uiPriority w:val="9"/>
    <w:rsid w:val="004B19F8"/>
    <w:rPr>
      <w:rFonts w:asciiTheme="majorHAnsi" w:hAnsiTheme="majorHAnsi" w:eastAsiaTheme="majorEastAsia" w:cstheme="majorBidi"/>
      <w:color w:val="1F3763" w:themeColor="accent1" w:themeShade="7F"/>
    </w:rPr>
  </w:style>
  <w:style w:type="paragraph" w:styleId="TOC4">
    <w:name w:val="toc 4"/>
    <w:basedOn w:val="Normal"/>
    <w:next w:val="Normal"/>
    <w:autoRedefine/>
    <w:uiPriority w:val="39"/>
    <w:unhideWhenUsed/>
    <w:rsid w:val="00A64D16"/>
    <w:pPr>
      <w:tabs>
        <w:tab w:val="right" w:leader="dot" w:pos="10070"/>
      </w:tabs>
      <w:spacing w:after="100"/>
      <w:ind w:left="660"/>
    </w:pPr>
  </w:style>
  <w:style w:type="paragraph" w:styleId="TOC1">
    <w:name w:val="toc 1"/>
    <w:basedOn w:val="Normal"/>
    <w:next w:val="Normal"/>
    <w:autoRedefine/>
    <w:uiPriority w:val="39"/>
    <w:unhideWhenUsed/>
    <w:rsid w:val="008C2564"/>
    <w:pPr>
      <w:tabs>
        <w:tab w:val="right" w:leader="dot" w:pos="10070"/>
      </w:tabs>
      <w:spacing w:after="100"/>
    </w:pPr>
  </w:style>
  <w:style w:type="character" w:styleId="Strong">
    <w:name w:val="Strong"/>
    <w:basedOn w:val="DefaultParagraphFont"/>
    <w:uiPriority w:val="22"/>
    <w:qFormat/>
    <w:rsid w:val="00665E49"/>
    <w:rPr>
      <w:b/>
      <w:bCs/>
    </w:rPr>
  </w:style>
  <w:style w:type="table" w:styleId="GridTable2-Accent5">
    <w:name w:val="Grid Table 2 Accent 5"/>
    <w:basedOn w:val="TableNormal"/>
    <w:uiPriority w:val="47"/>
    <w:rsid w:val="00DB044A"/>
    <w:tblPr>
      <w:tblStyleRowBandSize w:val="1"/>
      <w:tblStyleColBandSize w:val="1"/>
      <w:tblBorders>
        <w:top w:val="single" w:color="9CC2E5" w:themeColor="accent5" w:themeTint="99" w:sz="2" w:space="0"/>
        <w:bottom w:val="single" w:color="9CC2E5" w:themeColor="accent5" w:themeTint="99" w:sz="2" w:space="0"/>
        <w:insideH w:val="single" w:color="9CC2E5" w:themeColor="accent5" w:themeTint="99" w:sz="2" w:space="0"/>
        <w:insideV w:val="single" w:color="9CC2E5" w:themeColor="accent5" w:themeTint="99" w:sz="2" w:space="0"/>
      </w:tblBorders>
    </w:tblPr>
    <w:tblStylePr w:type="firstRow">
      <w:rPr>
        <w:b/>
        <w:bCs/>
      </w:rPr>
      <w:tblPr/>
      <w:tcPr>
        <w:tcBorders>
          <w:top w:val="nil"/>
          <w:bottom w:val="single" w:color="9CC2E5" w:themeColor="accent5" w:themeTint="99" w:sz="12" w:space="0"/>
          <w:insideH w:val="nil"/>
          <w:insideV w:val="nil"/>
        </w:tcBorders>
        <w:shd w:val="clear" w:color="auto" w:fill="FFFFFF" w:themeFill="background1"/>
      </w:tcPr>
    </w:tblStylePr>
    <w:tblStylePr w:type="lastRow">
      <w:rPr>
        <w:b/>
        <w:bCs/>
      </w:rPr>
      <w:tblPr/>
      <w:tcPr>
        <w:tcBorders>
          <w:top w:val="double" w:color="9CC2E5"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semiHidden/>
    <w:unhideWhenUsed/>
    <w:rsid w:val="007F5762"/>
    <w:pPr>
      <w:spacing w:before="100" w:beforeAutospacing="1" w:after="100" w:afterAutospacing="1"/>
    </w:pPr>
    <w:rPr>
      <w:rFonts w:ascii="Times New Roman" w:hAnsi="Times New Roman" w:eastAsia="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8468">
      <w:bodyDiv w:val="1"/>
      <w:marLeft w:val="0"/>
      <w:marRight w:val="0"/>
      <w:marTop w:val="0"/>
      <w:marBottom w:val="0"/>
      <w:divBdr>
        <w:top w:val="none" w:sz="0" w:space="0" w:color="auto"/>
        <w:left w:val="none" w:sz="0" w:space="0" w:color="auto"/>
        <w:bottom w:val="none" w:sz="0" w:space="0" w:color="auto"/>
        <w:right w:val="none" w:sz="0" w:space="0" w:color="auto"/>
      </w:divBdr>
    </w:div>
    <w:div w:id="72240845">
      <w:bodyDiv w:val="1"/>
      <w:marLeft w:val="0"/>
      <w:marRight w:val="0"/>
      <w:marTop w:val="0"/>
      <w:marBottom w:val="0"/>
      <w:divBdr>
        <w:top w:val="none" w:sz="0" w:space="0" w:color="auto"/>
        <w:left w:val="none" w:sz="0" w:space="0" w:color="auto"/>
        <w:bottom w:val="none" w:sz="0" w:space="0" w:color="auto"/>
        <w:right w:val="none" w:sz="0" w:space="0" w:color="auto"/>
      </w:divBdr>
    </w:div>
    <w:div w:id="107899537">
      <w:bodyDiv w:val="1"/>
      <w:marLeft w:val="0"/>
      <w:marRight w:val="0"/>
      <w:marTop w:val="0"/>
      <w:marBottom w:val="0"/>
      <w:divBdr>
        <w:top w:val="none" w:sz="0" w:space="0" w:color="auto"/>
        <w:left w:val="none" w:sz="0" w:space="0" w:color="auto"/>
        <w:bottom w:val="none" w:sz="0" w:space="0" w:color="auto"/>
        <w:right w:val="none" w:sz="0" w:space="0" w:color="auto"/>
      </w:divBdr>
    </w:div>
    <w:div w:id="170070844">
      <w:bodyDiv w:val="1"/>
      <w:marLeft w:val="0"/>
      <w:marRight w:val="0"/>
      <w:marTop w:val="0"/>
      <w:marBottom w:val="0"/>
      <w:divBdr>
        <w:top w:val="none" w:sz="0" w:space="0" w:color="auto"/>
        <w:left w:val="none" w:sz="0" w:space="0" w:color="auto"/>
        <w:bottom w:val="none" w:sz="0" w:space="0" w:color="auto"/>
        <w:right w:val="none" w:sz="0" w:space="0" w:color="auto"/>
      </w:divBdr>
    </w:div>
    <w:div w:id="196092456">
      <w:bodyDiv w:val="1"/>
      <w:marLeft w:val="0"/>
      <w:marRight w:val="0"/>
      <w:marTop w:val="0"/>
      <w:marBottom w:val="0"/>
      <w:divBdr>
        <w:top w:val="none" w:sz="0" w:space="0" w:color="auto"/>
        <w:left w:val="none" w:sz="0" w:space="0" w:color="auto"/>
        <w:bottom w:val="none" w:sz="0" w:space="0" w:color="auto"/>
        <w:right w:val="none" w:sz="0" w:space="0" w:color="auto"/>
      </w:divBdr>
    </w:div>
    <w:div w:id="206338617">
      <w:bodyDiv w:val="1"/>
      <w:marLeft w:val="0"/>
      <w:marRight w:val="0"/>
      <w:marTop w:val="0"/>
      <w:marBottom w:val="0"/>
      <w:divBdr>
        <w:top w:val="none" w:sz="0" w:space="0" w:color="auto"/>
        <w:left w:val="none" w:sz="0" w:space="0" w:color="auto"/>
        <w:bottom w:val="none" w:sz="0" w:space="0" w:color="auto"/>
        <w:right w:val="none" w:sz="0" w:space="0" w:color="auto"/>
      </w:divBdr>
    </w:div>
    <w:div w:id="236406260">
      <w:bodyDiv w:val="1"/>
      <w:marLeft w:val="0"/>
      <w:marRight w:val="0"/>
      <w:marTop w:val="0"/>
      <w:marBottom w:val="0"/>
      <w:divBdr>
        <w:top w:val="none" w:sz="0" w:space="0" w:color="auto"/>
        <w:left w:val="none" w:sz="0" w:space="0" w:color="auto"/>
        <w:bottom w:val="none" w:sz="0" w:space="0" w:color="auto"/>
        <w:right w:val="none" w:sz="0" w:space="0" w:color="auto"/>
      </w:divBdr>
    </w:div>
    <w:div w:id="239028882">
      <w:bodyDiv w:val="1"/>
      <w:marLeft w:val="0"/>
      <w:marRight w:val="0"/>
      <w:marTop w:val="0"/>
      <w:marBottom w:val="0"/>
      <w:divBdr>
        <w:top w:val="none" w:sz="0" w:space="0" w:color="auto"/>
        <w:left w:val="none" w:sz="0" w:space="0" w:color="auto"/>
        <w:bottom w:val="none" w:sz="0" w:space="0" w:color="auto"/>
        <w:right w:val="none" w:sz="0" w:space="0" w:color="auto"/>
      </w:divBdr>
    </w:div>
    <w:div w:id="240216497">
      <w:bodyDiv w:val="1"/>
      <w:marLeft w:val="0"/>
      <w:marRight w:val="0"/>
      <w:marTop w:val="0"/>
      <w:marBottom w:val="0"/>
      <w:divBdr>
        <w:top w:val="none" w:sz="0" w:space="0" w:color="auto"/>
        <w:left w:val="none" w:sz="0" w:space="0" w:color="auto"/>
        <w:bottom w:val="none" w:sz="0" w:space="0" w:color="auto"/>
        <w:right w:val="none" w:sz="0" w:space="0" w:color="auto"/>
      </w:divBdr>
    </w:div>
    <w:div w:id="254411224">
      <w:bodyDiv w:val="1"/>
      <w:marLeft w:val="0"/>
      <w:marRight w:val="0"/>
      <w:marTop w:val="0"/>
      <w:marBottom w:val="0"/>
      <w:divBdr>
        <w:top w:val="none" w:sz="0" w:space="0" w:color="auto"/>
        <w:left w:val="none" w:sz="0" w:space="0" w:color="auto"/>
        <w:bottom w:val="none" w:sz="0" w:space="0" w:color="auto"/>
        <w:right w:val="none" w:sz="0" w:space="0" w:color="auto"/>
      </w:divBdr>
    </w:div>
    <w:div w:id="310869758">
      <w:bodyDiv w:val="1"/>
      <w:marLeft w:val="0"/>
      <w:marRight w:val="0"/>
      <w:marTop w:val="0"/>
      <w:marBottom w:val="0"/>
      <w:divBdr>
        <w:top w:val="none" w:sz="0" w:space="0" w:color="auto"/>
        <w:left w:val="none" w:sz="0" w:space="0" w:color="auto"/>
        <w:bottom w:val="none" w:sz="0" w:space="0" w:color="auto"/>
        <w:right w:val="none" w:sz="0" w:space="0" w:color="auto"/>
      </w:divBdr>
    </w:div>
    <w:div w:id="330917317">
      <w:bodyDiv w:val="1"/>
      <w:marLeft w:val="0"/>
      <w:marRight w:val="0"/>
      <w:marTop w:val="0"/>
      <w:marBottom w:val="0"/>
      <w:divBdr>
        <w:top w:val="none" w:sz="0" w:space="0" w:color="auto"/>
        <w:left w:val="none" w:sz="0" w:space="0" w:color="auto"/>
        <w:bottom w:val="none" w:sz="0" w:space="0" w:color="auto"/>
        <w:right w:val="none" w:sz="0" w:space="0" w:color="auto"/>
      </w:divBdr>
    </w:div>
    <w:div w:id="384960839">
      <w:bodyDiv w:val="1"/>
      <w:marLeft w:val="0"/>
      <w:marRight w:val="0"/>
      <w:marTop w:val="0"/>
      <w:marBottom w:val="0"/>
      <w:divBdr>
        <w:top w:val="none" w:sz="0" w:space="0" w:color="auto"/>
        <w:left w:val="none" w:sz="0" w:space="0" w:color="auto"/>
        <w:bottom w:val="none" w:sz="0" w:space="0" w:color="auto"/>
        <w:right w:val="none" w:sz="0" w:space="0" w:color="auto"/>
      </w:divBdr>
    </w:div>
    <w:div w:id="390273883">
      <w:bodyDiv w:val="1"/>
      <w:marLeft w:val="0"/>
      <w:marRight w:val="0"/>
      <w:marTop w:val="0"/>
      <w:marBottom w:val="0"/>
      <w:divBdr>
        <w:top w:val="none" w:sz="0" w:space="0" w:color="auto"/>
        <w:left w:val="none" w:sz="0" w:space="0" w:color="auto"/>
        <w:bottom w:val="none" w:sz="0" w:space="0" w:color="auto"/>
        <w:right w:val="none" w:sz="0" w:space="0" w:color="auto"/>
      </w:divBdr>
    </w:div>
    <w:div w:id="413744345">
      <w:bodyDiv w:val="1"/>
      <w:marLeft w:val="0"/>
      <w:marRight w:val="0"/>
      <w:marTop w:val="0"/>
      <w:marBottom w:val="0"/>
      <w:divBdr>
        <w:top w:val="none" w:sz="0" w:space="0" w:color="auto"/>
        <w:left w:val="none" w:sz="0" w:space="0" w:color="auto"/>
        <w:bottom w:val="none" w:sz="0" w:space="0" w:color="auto"/>
        <w:right w:val="none" w:sz="0" w:space="0" w:color="auto"/>
      </w:divBdr>
    </w:div>
    <w:div w:id="416482732">
      <w:bodyDiv w:val="1"/>
      <w:marLeft w:val="0"/>
      <w:marRight w:val="0"/>
      <w:marTop w:val="0"/>
      <w:marBottom w:val="0"/>
      <w:divBdr>
        <w:top w:val="none" w:sz="0" w:space="0" w:color="auto"/>
        <w:left w:val="none" w:sz="0" w:space="0" w:color="auto"/>
        <w:bottom w:val="none" w:sz="0" w:space="0" w:color="auto"/>
        <w:right w:val="none" w:sz="0" w:space="0" w:color="auto"/>
      </w:divBdr>
    </w:div>
    <w:div w:id="445124436">
      <w:bodyDiv w:val="1"/>
      <w:marLeft w:val="0"/>
      <w:marRight w:val="0"/>
      <w:marTop w:val="0"/>
      <w:marBottom w:val="0"/>
      <w:divBdr>
        <w:top w:val="none" w:sz="0" w:space="0" w:color="auto"/>
        <w:left w:val="none" w:sz="0" w:space="0" w:color="auto"/>
        <w:bottom w:val="none" w:sz="0" w:space="0" w:color="auto"/>
        <w:right w:val="none" w:sz="0" w:space="0" w:color="auto"/>
      </w:divBdr>
    </w:div>
    <w:div w:id="538475100">
      <w:bodyDiv w:val="1"/>
      <w:marLeft w:val="0"/>
      <w:marRight w:val="0"/>
      <w:marTop w:val="0"/>
      <w:marBottom w:val="0"/>
      <w:divBdr>
        <w:top w:val="none" w:sz="0" w:space="0" w:color="auto"/>
        <w:left w:val="none" w:sz="0" w:space="0" w:color="auto"/>
        <w:bottom w:val="none" w:sz="0" w:space="0" w:color="auto"/>
        <w:right w:val="none" w:sz="0" w:space="0" w:color="auto"/>
      </w:divBdr>
    </w:div>
    <w:div w:id="568656563">
      <w:bodyDiv w:val="1"/>
      <w:marLeft w:val="0"/>
      <w:marRight w:val="0"/>
      <w:marTop w:val="0"/>
      <w:marBottom w:val="0"/>
      <w:divBdr>
        <w:top w:val="none" w:sz="0" w:space="0" w:color="auto"/>
        <w:left w:val="none" w:sz="0" w:space="0" w:color="auto"/>
        <w:bottom w:val="none" w:sz="0" w:space="0" w:color="auto"/>
        <w:right w:val="none" w:sz="0" w:space="0" w:color="auto"/>
      </w:divBdr>
    </w:div>
    <w:div w:id="639651427">
      <w:bodyDiv w:val="1"/>
      <w:marLeft w:val="0"/>
      <w:marRight w:val="0"/>
      <w:marTop w:val="0"/>
      <w:marBottom w:val="0"/>
      <w:divBdr>
        <w:top w:val="none" w:sz="0" w:space="0" w:color="auto"/>
        <w:left w:val="none" w:sz="0" w:space="0" w:color="auto"/>
        <w:bottom w:val="none" w:sz="0" w:space="0" w:color="auto"/>
        <w:right w:val="none" w:sz="0" w:space="0" w:color="auto"/>
      </w:divBdr>
    </w:div>
    <w:div w:id="651564759">
      <w:bodyDiv w:val="1"/>
      <w:marLeft w:val="0"/>
      <w:marRight w:val="0"/>
      <w:marTop w:val="0"/>
      <w:marBottom w:val="0"/>
      <w:divBdr>
        <w:top w:val="none" w:sz="0" w:space="0" w:color="auto"/>
        <w:left w:val="none" w:sz="0" w:space="0" w:color="auto"/>
        <w:bottom w:val="none" w:sz="0" w:space="0" w:color="auto"/>
        <w:right w:val="none" w:sz="0" w:space="0" w:color="auto"/>
      </w:divBdr>
      <w:divsChild>
        <w:div w:id="1433430735">
          <w:marLeft w:val="0"/>
          <w:marRight w:val="0"/>
          <w:marTop w:val="0"/>
          <w:marBottom w:val="0"/>
          <w:divBdr>
            <w:top w:val="none" w:sz="0" w:space="0" w:color="auto"/>
            <w:left w:val="none" w:sz="0" w:space="0" w:color="auto"/>
            <w:bottom w:val="none" w:sz="0" w:space="0" w:color="auto"/>
            <w:right w:val="none" w:sz="0" w:space="0" w:color="auto"/>
          </w:divBdr>
        </w:div>
        <w:div w:id="2056274123">
          <w:marLeft w:val="0"/>
          <w:marRight w:val="0"/>
          <w:marTop w:val="0"/>
          <w:marBottom w:val="0"/>
          <w:divBdr>
            <w:top w:val="none" w:sz="0" w:space="0" w:color="auto"/>
            <w:left w:val="none" w:sz="0" w:space="0" w:color="auto"/>
            <w:bottom w:val="none" w:sz="0" w:space="0" w:color="auto"/>
            <w:right w:val="none" w:sz="0" w:space="0" w:color="auto"/>
          </w:divBdr>
        </w:div>
      </w:divsChild>
    </w:div>
    <w:div w:id="693921735">
      <w:bodyDiv w:val="1"/>
      <w:marLeft w:val="0"/>
      <w:marRight w:val="0"/>
      <w:marTop w:val="0"/>
      <w:marBottom w:val="0"/>
      <w:divBdr>
        <w:top w:val="none" w:sz="0" w:space="0" w:color="auto"/>
        <w:left w:val="none" w:sz="0" w:space="0" w:color="auto"/>
        <w:bottom w:val="none" w:sz="0" w:space="0" w:color="auto"/>
        <w:right w:val="none" w:sz="0" w:space="0" w:color="auto"/>
      </w:divBdr>
      <w:divsChild>
        <w:div w:id="204148955">
          <w:marLeft w:val="0"/>
          <w:marRight w:val="0"/>
          <w:marTop w:val="0"/>
          <w:marBottom w:val="0"/>
          <w:divBdr>
            <w:top w:val="none" w:sz="0" w:space="0" w:color="auto"/>
            <w:left w:val="none" w:sz="0" w:space="0" w:color="auto"/>
            <w:bottom w:val="none" w:sz="0" w:space="0" w:color="auto"/>
            <w:right w:val="none" w:sz="0" w:space="0" w:color="auto"/>
          </w:divBdr>
        </w:div>
        <w:div w:id="284622944">
          <w:marLeft w:val="0"/>
          <w:marRight w:val="0"/>
          <w:marTop w:val="0"/>
          <w:marBottom w:val="0"/>
          <w:divBdr>
            <w:top w:val="none" w:sz="0" w:space="0" w:color="auto"/>
            <w:left w:val="none" w:sz="0" w:space="0" w:color="auto"/>
            <w:bottom w:val="none" w:sz="0" w:space="0" w:color="auto"/>
            <w:right w:val="none" w:sz="0" w:space="0" w:color="auto"/>
          </w:divBdr>
        </w:div>
        <w:div w:id="450901438">
          <w:marLeft w:val="0"/>
          <w:marRight w:val="0"/>
          <w:marTop w:val="0"/>
          <w:marBottom w:val="0"/>
          <w:divBdr>
            <w:top w:val="none" w:sz="0" w:space="0" w:color="auto"/>
            <w:left w:val="none" w:sz="0" w:space="0" w:color="auto"/>
            <w:bottom w:val="none" w:sz="0" w:space="0" w:color="auto"/>
            <w:right w:val="none" w:sz="0" w:space="0" w:color="auto"/>
          </w:divBdr>
        </w:div>
        <w:div w:id="535507972">
          <w:marLeft w:val="0"/>
          <w:marRight w:val="0"/>
          <w:marTop w:val="0"/>
          <w:marBottom w:val="0"/>
          <w:divBdr>
            <w:top w:val="none" w:sz="0" w:space="0" w:color="auto"/>
            <w:left w:val="none" w:sz="0" w:space="0" w:color="auto"/>
            <w:bottom w:val="none" w:sz="0" w:space="0" w:color="auto"/>
            <w:right w:val="none" w:sz="0" w:space="0" w:color="auto"/>
          </w:divBdr>
        </w:div>
        <w:div w:id="574165434">
          <w:marLeft w:val="0"/>
          <w:marRight w:val="0"/>
          <w:marTop w:val="0"/>
          <w:marBottom w:val="0"/>
          <w:divBdr>
            <w:top w:val="none" w:sz="0" w:space="0" w:color="auto"/>
            <w:left w:val="none" w:sz="0" w:space="0" w:color="auto"/>
            <w:bottom w:val="none" w:sz="0" w:space="0" w:color="auto"/>
            <w:right w:val="none" w:sz="0" w:space="0" w:color="auto"/>
          </w:divBdr>
        </w:div>
        <w:div w:id="1499072452">
          <w:marLeft w:val="0"/>
          <w:marRight w:val="0"/>
          <w:marTop w:val="0"/>
          <w:marBottom w:val="0"/>
          <w:divBdr>
            <w:top w:val="none" w:sz="0" w:space="0" w:color="auto"/>
            <w:left w:val="none" w:sz="0" w:space="0" w:color="auto"/>
            <w:bottom w:val="none" w:sz="0" w:space="0" w:color="auto"/>
            <w:right w:val="none" w:sz="0" w:space="0" w:color="auto"/>
          </w:divBdr>
        </w:div>
        <w:div w:id="1723747868">
          <w:marLeft w:val="0"/>
          <w:marRight w:val="0"/>
          <w:marTop w:val="0"/>
          <w:marBottom w:val="0"/>
          <w:divBdr>
            <w:top w:val="none" w:sz="0" w:space="0" w:color="auto"/>
            <w:left w:val="none" w:sz="0" w:space="0" w:color="auto"/>
            <w:bottom w:val="none" w:sz="0" w:space="0" w:color="auto"/>
            <w:right w:val="none" w:sz="0" w:space="0" w:color="auto"/>
          </w:divBdr>
        </w:div>
        <w:div w:id="2111585935">
          <w:marLeft w:val="0"/>
          <w:marRight w:val="0"/>
          <w:marTop w:val="0"/>
          <w:marBottom w:val="0"/>
          <w:divBdr>
            <w:top w:val="none" w:sz="0" w:space="0" w:color="auto"/>
            <w:left w:val="none" w:sz="0" w:space="0" w:color="auto"/>
            <w:bottom w:val="none" w:sz="0" w:space="0" w:color="auto"/>
            <w:right w:val="none" w:sz="0" w:space="0" w:color="auto"/>
          </w:divBdr>
        </w:div>
      </w:divsChild>
    </w:div>
    <w:div w:id="749305696">
      <w:bodyDiv w:val="1"/>
      <w:marLeft w:val="0"/>
      <w:marRight w:val="0"/>
      <w:marTop w:val="0"/>
      <w:marBottom w:val="0"/>
      <w:divBdr>
        <w:top w:val="none" w:sz="0" w:space="0" w:color="auto"/>
        <w:left w:val="none" w:sz="0" w:space="0" w:color="auto"/>
        <w:bottom w:val="none" w:sz="0" w:space="0" w:color="auto"/>
        <w:right w:val="none" w:sz="0" w:space="0" w:color="auto"/>
      </w:divBdr>
    </w:div>
    <w:div w:id="760874205">
      <w:bodyDiv w:val="1"/>
      <w:marLeft w:val="0"/>
      <w:marRight w:val="0"/>
      <w:marTop w:val="0"/>
      <w:marBottom w:val="0"/>
      <w:divBdr>
        <w:top w:val="none" w:sz="0" w:space="0" w:color="auto"/>
        <w:left w:val="none" w:sz="0" w:space="0" w:color="auto"/>
        <w:bottom w:val="none" w:sz="0" w:space="0" w:color="auto"/>
        <w:right w:val="none" w:sz="0" w:space="0" w:color="auto"/>
      </w:divBdr>
    </w:div>
    <w:div w:id="763264335">
      <w:bodyDiv w:val="1"/>
      <w:marLeft w:val="0"/>
      <w:marRight w:val="0"/>
      <w:marTop w:val="0"/>
      <w:marBottom w:val="0"/>
      <w:divBdr>
        <w:top w:val="none" w:sz="0" w:space="0" w:color="auto"/>
        <w:left w:val="none" w:sz="0" w:space="0" w:color="auto"/>
        <w:bottom w:val="none" w:sz="0" w:space="0" w:color="auto"/>
        <w:right w:val="none" w:sz="0" w:space="0" w:color="auto"/>
      </w:divBdr>
    </w:div>
    <w:div w:id="768429233">
      <w:bodyDiv w:val="1"/>
      <w:marLeft w:val="0"/>
      <w:marRight w:val="0"/>
      <w:marTop w:val="0"/>
      <w:marBottom w:val="0"/>
      <w:divBdr>
        <w:top w:val="none" w:sz="0" w:space="0" w:color="auto"/>
        <w:left w:val="none" w:sz="0" w:space="0" w:color="auto"/>
        <w:bottom w:val="none" w:sz="0" w:space="0" w:color="auto"/>
        <w:right w:val="none" w:sz="0" w:space="0" w:color="auto"/>
      </w:divBdr>
      <w:divsChild>
        <w:div w:id="1081486801">
          <w:marLeft w:val="0"/>
          <w:marRight w:val="0"/>
          <w:marTop w:val="0"/>
          <w:marBottom w:val="0"/>
          <w:divBdr>
            <w:top w:val="none" w:sz="0" w:space="0" w:color="auto"/>
            <w:left w:val="none" w:sz="0" w:space="0" w:color="auto"/>
            <w:bottom w:val="none" w:sz="0" w:space="0" w:color="auto"/>
            <w:right w:val="none" w:sz="0" w:space="0" w:color="auto"/>
          </w:divBdr>
        </w:div>
        <w:div w:id="2134011930">
          <w:marLeft w:val="0"/>
          <w:marRight w:val="0"/>
          <w:marTop w:val="0"/>
          <w:marBottom w:val="0"/>
          <w:divBdr>
            <w:top w:val="none" w:sz="0" w:space="0" w:color="auto"/>
            <w:left w:val="none" w:sz="0" w:space="0" w:color="auto"/>
            <w:bottom w:val="none" w:sz="0" w:space="0" w:color="auto"/>
            <w:right w:val="none" w:sz="0" w:space="0" w:color="auto"/>
          </w:divBdr>
        </w:div>
      </w:divsChild>
    </w:div>
    <w:div w:id="770973090">
      <w:bodyDiv w:val="1"/>
      <w:marLeft w:val="0"/>
      <w:marRight w:val="0"/>
      <w:marTop w:val="0"/>
      <w:marBottom w:val="0"/>
      <w:divBdr>
        <w:top w:val="none" w:sz="0" w:space="0" w:color="auto"/>
        <w:left w:val="none" w:sz="0" w:space="0" w:color="auto"/>
        <w:bottom w:val="none" w:sz="0" w:space="0" w:color="auto"/>
        <w:right w:val="none" w:sz="0" w:space="0" w:color="auto"/>
      </w:divBdr>
      <w:divsChild>
        <w:div w:id="104157508">
          <w:marLeft w:val="0"/>
          <w:marRight w:val="0"/>
          <w:marTop w:val="0"/>
          <w:marBottom w:val="0"/>
          <w:divBdr>
            <w:top w:val="none" w:sz="0" w:space="0" w:color="auto"/>
            <w:left w:val="none" w:sz="0" w:space="0" w:color="auto"/>
            <w:bottom w:val="none" w:sz="0" w:space="0" w:color="auto"/>
            <w:right w:val="none" w:sz="0" w:space="0" w:color="auto"/>
          </w:divBdr>
        </w:div>
        <w:div w:id="199906548">
          <w:marLeft w:val="0"/>
          <w:marRight w:val="0"/>
          <w:marTop w:val="0"/>
          <w:marBottom w:val="0"/>
          <w:divBdr>
            <w:top w:val="none" w:sz="0" w:space="0" w:color="auto"/>
            <w:left w:val="none" w:sz="0" w:space="0" w:color="auto"/>
            <w:bottom w:val="none" w:sz="0" w:space="0" w:color="auto"/>
            <w:right w:val="none" w:sz="0" w:space="0" w:color="auto"/>
          </w:divBdr>
        </w:div>
        <w:div w:id="624890211">
          <w:marLeft w:val="0"/>
          <w:marRight w:val="0"/>
          <w:marTop w:val="0"/>
          <w:marBottom w:val="0"/>
          <w:divBdr>
            <w:top w:val="none" w:sz="0" w:space="0" w:color="auto"/>
            <w:left w:val="none" w:sz="0" w:space="0" w:color="auto"/>
            <w:bottom w:val="none" w:sz="0" w:space="0" w:color="auto"/>
            <w:right w:val="none" w:sz="0" w:space="0" w:color="auto"/>
          </w:divBdr>
        </w:div>
        <w:div w:id="631791870">
          <w:marLeft w:val="0"/>
          <w:marRight w:val="0"/>
          <w:marTop w:val="0"/>
          <w:marBottom w:val="0"/>
          <w:divBdr>
            <w:top w:val="none" w:sz="0" w:space="0" w:color="auto"/>
            <w:left w:val="none" w:sz="0" w:space="0" w:color="auto"/>
            <w:bottom w:val="none" w:sz="0" w:space="0" w:color="auto"/>
            <w:right w:val="none" w:sz="0" w:space="0" w:color="auto"/>
          </w:divBdr>
        </w:div>
        <w:div w:id="724528711">
          <w:marLeft w:val="0"/>
          <w:marRight w:val="0"/>
          <w:marTop w:val="0"/>
          <w:marBottom w:val="0"/>
          <w:divBdr>
            <w:top w:val="none" w:sz="0" w:space="0" w:color="auto"/>
            <w:left w:val="none" w:sz="0" w:space="0" w:color="auto"/>
            <w:bottom w:val="none" w:sz="0" w:space="0" w:color="auto"/>
            <w:right w:val="none" w:sz="0" w:space="0" w:color="auto"/>
          </w:divBdr>
        </w:div>
        <w:div w:id="1013604383">
          <w:marLeft w:val="0"/>
          <w:marRight w:val="0"/>
          <w:marTop w:val="0"/>
          <w:marBottom w:val="0"/>
          <w:divBdr>
            <w:top w:val="none" w:sz="0" w:space="0" w:color="auto"/>
            <w:left w:val="none" w:sz="0" w:space="0" w:color="auto"/>
            <w:bottom w:val="none" w:sz="0" w:space="0" w:color="auto"/>
            <w:right w:val="none" w:sz="0" w:space="0" w:color="auto"/>
          </w:divBdr>
        </w:div>
        <w:div w:id="1365400778">
          <w:marLeft w:val="0"/>
          <w:marRight w:val="0"/>
          <w:marTop w:val="0"/>
          <w:marBottom w:val="0"/>
          <w:divBdr>
            <w:top w:val="none" w:sz="0" w:space="0" w:color="auto"/>
            <w:left w:val="none" w:sz="0" w:space="0" w:color="auto"/>
            <w:bottom w:val="none" w:sz="0" w:space="0" w:color="auto"/>
            <w:right w:val="none" w:sz="0" w:space="0" w:color="auto"/>
          </w:divBdr>
        </w:div>
        <w:div w:id="1569224590">
          <w:marLeft w:val="0"/>
          <w:marRight w:val="0"/>
          <w:marTop w:val="0"/>
          <w:marBottom w:val="0"/>
          <w:divBdr>
            <w:top w:val="none" w:sz="0" w:space="0" w:color="auto"/>
            <w:left w:val="none" w:sz="0" w:space="0" w:color="auto"/>
            <w:bottom w:val="none" w:sz="0" w:space="0" w:color="auto"/>
            <w:right w:val="none" w:sz="0" w:space="0" w:color="auto"/>
          </w:divBdr>
        </w:div>
      </w:divsChild>
    </w:div>
    <w:div w:id="795022488">
      <w:bodyDiv w:val="1"/>
      <w:marLeft w:val="0"/>
      <w:marRight w:val="0"/>
      <w:marTop w:val="0"/>
      <w:marBottom w:val="0"/>
      <w:divBdr>
        <w:top w:val="none" w:sz="0" w:space="0" w:color="auto"/>
        <w:left w:val="none" w:sz="0" w:space="0" w:color="auto"/>
        <w:bottom w:val="none" w:sz="0" w:space="0" w:color="auto"/>
        <w:right w:val="none" w:sz="0" w:space="0" w:color="auto"/>
      </w:divBdr>
    </w:div>
    <w:div w:id="813839365">
      <w:bodyDiv w:val="1"/>
      <w:marLeft w:val="0"/>
      <w:marRight w:val="0"/>
      <w:marTop w:val="0"/>
      <w:marBottom w:val="0"/>
      <w:divBdr>
        <w:top w:val="none" w:sz="0" w:space="0" w:color="auto"/>
        <w:left w:val="none" w:sz="0" w:space="0" w:color="auto"/>
        <w:bottom w:val="none" w:sz="0" w:space="0" w:color="auto"/>
        <w:right w:val="none" w:sz="0" w:space="0" w:color="auto"/>
      </w:divBdr>
    </w:div>
    <w:div w:id="850951024">
      <w:bodyDiv w:val="1"/>
      <w:marLeft w:val="0"/>
      <w:marRight w:val="0"/>
      <w:marTop w:val="0"/>
      <w:marBottom w:val="0"/>
      <w:divBdr>
        <w:top w:val="none" w:sz="0" w:space="0" w:color="auto"/>
        <w:left w:val="none" w:sz="0" w:space="0" w:color="auto"/>
        <w:bottom w:val="none" w:sz="0" w:space="0" w:color="auto"/>
        <w:right w:val="none" w:sz="0" w:space="0" w:color="auto"/>
      </w:divBdr>
    </w:div>
    <w:div w:id="853226993">
      <w:bodyDiv w:val="1"/>
      <w:marLeft w:val="0"/>
      <w:marRight w:val="0"/>
      <w:marTop w:val="0"/>
      <w:marBottom w:val="0"/>
      <w:divBdr>
        <w:top w:val="none" w:sz="0" w:space="0" w:color="auto"/>
        <w:left w:val="none" w:sz="0" w:space="0" w:color="auto"/>
        <w:bottom w:val="none" w:sz="0" w:space="0" w:color="auto"/>
        <w:right w:val="none" w:sz="0" w:space="0" w:color="auto"/>
      </w:divBdr>
      <w:divsChild>
        <w:div w:id="80875866">
          <w:marLeft w:val="0"/>
          <w:marRight w:val="0"/>
          <w:marTop w:val="0"/>
          <w:marBottom w:val="240"/>
          <w:divBdr>
            <w:top w:val="none" w:sz="0" w:space="0" w:color="auto"/>
            <w:left w:val="none" w:sz="0" w:space="0" w:color="auto"/>
            <w:bottom w:val="none" w:sz="0" w:space="0" w:color="auto"/>
            <w:right w:val="none" w:sz="0" w:space="0" w:color="auto"/>
          </w:divBdr>
        </w:div>
      </w:divsChild>
    </w:div>
    <w:div w:id="878399071">
      <w:bodyDiv w:val="1"/>
      <w:marLeft w:val="0"/>
      <w:marRight w:val="0"/>
      <w:marTop w:val="0"/>
      <w:marBottom w:val="0"/>
      <w:divBdr>
        <w:top w:val="none" w:sz="0" w:space="0" w:color="auto"/>
        <w:left w:val="none" w:sz="0" w:space="0" w:color="auto"/>
        <w:bottom w:val="none" w:sz="0" w:space="0" w:color="auto"/>
        <w:right w:val="none" w:sz="0" w:space="0" w:color="auto"/>
      </w:divBdr>
    </w:div>
    <w:div w:id="933510340">
      <w:bodyDiv w:val="1"/>
      <w:marLeft w:val="0"/>
      <w:marRight w:val="0"/>
      <w:marTop w:val="0"/>
      <w:marBottom w:val="0"/>
      <w:divBdr>
        <w:top w:val="none" w:sz="0" w:space="0" w:color="auto"/>
        <w:left w:val="none" w:sz="0" w:space="0" w:color="auto"/>
        <w:bottom w:val="none" w:sz="0" w:space="0" w:color="auto"/>
        <w:right w:val="none" w:sz="0" w:space="0" w:color="auto"/>
      </w:divBdr>
    </w:div>
    <w:div w:id="960380184">
      <w:bodyDiv w:val="1"/>
      <w:marLeft w:val="0"/>
      <w:marRight w:val="0"/>
      <w:marTop w:val="0"/>
      <w:marBottom w:val="0"/>
      <w:divBdr>
        <w:top w:val="none" w:sz="0" w:space="0" w:color="auto"/>
        <w:left w:val="none" w:sz="0" w:space="0" w:color="auto"/>
        <w:bottom w:val="none" w:sz="0" w:space="0" w:color="auto"/>
        <w:right w:val="none" w:sz="0" w:space="0" w:color="auto"/>
      </w:divBdr>
    </w:div>
    <w:div w:id="990207261">
      <w:bodyDiv w:val="1"/>
      <w:marLeft w:val="0"/>
      <w:marRight w:val="0"/>
      <w:marTop w:val="0"/>
      <w:marBottom w:val="0"/>
      <w:divBdr>
        <w:top w:val="none" w:sz="0" w:space="0" w:color="auto"/>
        <w:left w:val="none" w:sz="0" w:space="0" w:color="auto"/>
        <w:bottom w:val="none" w:sz="0" w:space="0" w:color="auto"/>
        <w:right w:val="none" w:sz="0" w:space="0" w:color="auto"/>
      </w:divBdr>
    </w:div>
    <w:div w:id="996613314">
      <w:bodyDiv w:val="1"/>
      <w:marLeft w:val="0"/>
      <w:marRight w:val="0"/>
      <w:marTop w:val="0"/>
      <w:marBottom w:val="0"/>
      <w:divBdr>
        <w:top w:val="none" w:sz="0" w:space="0" w:color="auto"/>
        <w:left w:val="none" w:sz="0" w:space="0" w:color="auto"/>
        <w:bottom w:val="none" w:sz="0" w:space="0" w:color="auto"/>
        <w:right w:val="none" w:sz="0" w:space="0" w:color="auto"/>
      </w:divBdr>
      <w:divsChild>
        <w:div w:id="119343393">
          <w:marLeft w:val="0"/>
          <w:marRight w:val="0"/>
          <w:marTop w:val="0"/>
          <w:marBottom w:val="0"/>
          <w:divBdr>
            <w:top w:val="none" w:sz="0" w:space="0" w:color="auto"/>
            <w:left w:val="none" w:sz="0" w:space="0" w:color="auto"/>
            <w:bottom w:val="none" w:sz="0" w:space="0" w:color="auto"/>
            <w:right w:val="none" w:sz="0" w:space="0" w:color="auto"/>
          </w:divBdr>
          <w:divsChild>
            <w:div w:id="1540362288">
              <w:marLeft w:val="0"/>
              <w:marRight w:val="0"/>
              <w:marTop w:val="0"/>
              <w:marBottom w:val="0"/>
              <w:divBdr>
                <w:top w:val="none" w:sz="0" w:space="0" w:color="auto"/>
                <w:left w:val="none" w:sz="0" w:space="0" w:color="auto"/>
                <w:bottom w:val="none" w:sz="0" w:space="0" w:color="auto"/>
                <w:right w:val="none" w:sz="0" w:space="0" w:color="auto"/>
              </w:divBdr>
              <w:divsChild>
                <w:div w:id="1278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5866">
      <w:bodyDiv w:val="1"/>
      <w:marLeft w:val="0"/>
      <w:marRight w:val="0"/>
      <w:marTop w:val="0"/>
      <w:marBottom w:val="0"/>
      <w:divBdr>
        <w:top w:val="none" w:sz="0" w:space="0" w:color="auto"/>
        <w:left w:val="none" w:sz="0" w:space="0" w:color="auto"/>
        <w:bottom w:val="none" w:sz="0" w:space="0" w:color="auto"/>
        <w:right w:val="none" w:sz="0" w:space="0" w:color="auto"/>
      </w:divBdr>
    </w:div>
    <w:div w:id="1063019590">
      <w:bodyDiv w:val="1"/>
      <w:marLeft w:val="0"/>
      <w:marRight w:val="0"/>
      <w:marTop w:val="0"/>
      <w:marBottom w:val="0"/>
      <w:divBdr>
        <w:top w:val="none" w:sz="0" w:space="0" w:color="auto"/>
        <w:left w:val="none" w:sz="0" w:space="0" w:color="auto"/>
        <w:bottom w:val="none" w:sz="0" w:space="0" w:color="auto"/>
        <w:right w:val="none" w:sz="0" w:space="0" w:color="auto"/>
      </w:divBdr>
    </w:div>
    <w:div w:id="1132600573">
      <w:bodyDiv w:val="1"/>
      <w:marLeft w:val="0"/>
      <w:marRight w:val="0"/>
      <w:marTop w:val="0"/>
      <w:marBottom w:val="0"/>
      <w:divBdr>
        <w:top w:val="none" w:sz="0" w:space="0" w:color="auto"/>
        <w:left w:val="none" w:sz="0" w:space="0" w:color="auto"/>
        <w:bottom w:val="none" w:sz="0" w:space="0" w:color="auto"/>
        <w:right w:val="none" w:sz="0" w:space="0" w:color="auto"/>
      </w:divBdr>
    </w:div>
    <w:div w:id="1181774075">
      <w:bodyDiv w:val="1"/>
      <w:marLeft w:val="0"/>
      <w:marRight w:val="0"/>
      <w:marTop w:val="0"/>
      <w:marBottom w:val="0"/>
      <w:divBdr>
        <w:top w:val="none" w:sz="0" w:space="0" w:color="auto"/>
        <w:left w:val="none" w:sz="0" w:space="0" w:color="auto"/>
        <w:bottom w:val="none" w:sz="0" w:space="0" w:color="auto"/>
        <w:right w:val="none" w:sz="0" w:space="0" w:color="auto"/>
      </w:divBdr>
    </w:div>
    <w:div w:id="1186752782">
      <w:bodyDiv w:val="1"/>
      <w:marLeft w:val="0"/>
      <w:marRight w:val="0"/>
      <w:marTop w:val="0"/>
      <w:marBottom w:val="0"/>
      <w:divBdr>
        <w:top w:val="none" w:sz="0" w:space="0" w:color="auto"/>
        <w:left w:val="none" w:sz="0" w:space="0" w:color="auto"/>
        <w:bottom w:val="none" w:sz="0" w:space="0" w:color="auto"/>
        <w:right w:val="none" w:sz="0" w:space="0" w:color="auto"/>
      </w:divBdr>
    </w:div>
    <w:div w:id="1215503855">
      <w:bodyDiv w:val="1"/>
      <w:marLeft w:val="0"/>
      <w:marRight w:val="0"/>
      <w:marTop w:val="0"/>
      <w:marBottom w:val="0"/>
      <w:divBdr>
        <w:top w:val="none" w:sz="0" w:space="0" w:color="auto"/>
        <w:left w:val="none" w:sz="0" w:space="0" w:color="auto"/>
        <w:bottom w:val="none" w:sz="0" w:space="0" w:color="auto"/>
        <w:right w:val="none" w:sz="0" w:space="0" w:color="auto"/>
      </w:divBdr>
    </w:div>
    <w:div w:id="1232082301">
      <w:bodyDiv w:val="1"/>
      <w:marLeft w:val="0"/>
      <w:marRight w:val="0"/>
      <w:marTop w:val="0"/>
      <w:marBottom w:val="0"/>
      <w:divBdr>
        <w:top w:val="none" w:sz="0" w:space="0" w:color="auto"/>
        <w:left w:val="none" w:sz="0" w:space="0" w:color="auto"/>
        <w:bottom w:val="none" w:sz="0" w:space="0" w:color="auto"/>
        <w:right w:val="none" w:sz="0" w:space="0" w:color="auto"/>
      </w:divBdr>
      <w:divsChild>
        <w:div w:id="1749763536">
          <w:marLeft w:val="0"/>
          <w:marRight w:val="0"/>
          <w:marTop w:val="0"/>
          <w:marBottom w:val="0"/>
          <w:divBdr>
            <w:top w:val="none" w:sz="0" w:space="0" w:color="auto"/>
            <w:left w:val="none" w:sz="0" w:space="0" w:color="auto"/>
            <w:bottom w:val="none" w:sz="0" w:space="0" w:color="auto"/>
            <w:right w:val="none" w:sz="0" w:space="0" w:color="auto"/>
          </w:divBdr>
        </w:div>
      </w:divsChild>
    </w:div>
    <w:div w:id="1248803625">
      <w:bodyDiv w:val="1"/>
      <w:marLeft w:val="0"/>
      <w:marRight w:val="0"/>
      <w:marTop w:val="0"/>
      <w:marBottom w:val="0"/>
      <w:divBdr>
        <w:top w:val="none" w:sz="0" w:space="0" w:color="auto"/>
        <w:left w:val="none" w:sz="0" w:space="0" w:color="auto"/>
        <w:bottom w:val="none" w:sz="0" w:space="0" w:color="auto"/>
        <w:right w:val="none" w:sz="0" w:space="0" w:color="auto"/>
      </w:divBdr>
    </w:div>
    <w:div w:id="1252666013">
      <w:bodyDiv w:val="1"/>
      <w:marLeft w:val="0"/>
      <w:marRight w:val="0"/>
      <w:marTop w:val="0"/>
      <w:marBottom w:val="0"/>
      <w:divBdr>
        <w:top w:val="none" w:sz="0" w:space="0" w:color="auto"/>
        <w:left w:val="none" w:sz="0" w:space="0" w:color="auto"/>
        <w:bottom w:val="none" w:sz="0" w:space="0" w:color="auto"/>
        <w:right w:val="none" w:sz="0" w:space="0" w:color="auto"/>
      </w:divBdr>
    </w:div>
    <w:div w:id="1301418526">
      <w:bodyDiv w:val="1"/>
      <w:marLeft w:val="0"/>
      <w:marRight w:val="0"/>
      <w:marTop w:val="0"/>
      <w:marBottom w:val="0"/>
      <w:divBdr>
        <w:top w:val="none" w:sz="0" w:space="0" w:color="auto"/>
        <w:left w:val="none" w:sz="0" w:space="0" w:color="auto"/>
        <w:bottom w:val="none" w:sz="0" w:space="0" w:color="auto"/>
        <w:right w:val="none" w:sz="0" w:space="0" w:color="auto"/>
      </w:divBdr>
    </w:div>
    <w:div w:id="1367096483">
      <w:bodyDiv w:val="1"/>
      <w:marLeft w:val="0"/>
      <w:marRight w:val="0"/>
      <w:marTop w:val="0"/>
      <w:marBottom w:val="0"/>
      <w:divBdr>
        <w:top w:val="none" w:sz="0" w:space="0" w:color="auto"/>
        <w:left w:val="none" w:sz="0" w:space="0" w:color="auto"/>
        <w:bottom w:val="none" w:sz="0" w:space="0" w:color="auto"/>
        <w:right w:val="none" w:sz="0" w:space="0" w:color="auto"/>
      </w:divBdr>
    </w:div>
    <w:div w:id="1400903094">
      <w:bodyDiv w:val="1"/>
      <w:marLeft w:val="0"/>
      <w:marRight w:val="0"/>
      <w:marTop w:val="0"/>
      <w:marBottom w:val="0"/>
      <w:divBdr>
        <w:top w:val="none" w:sz="0" w:space="0" w:color="auto"/>
        <w:left w:val="none" w:sz="0" w:space="0" w:color="auto"/>
        <w:bottom w:val="none" w:sz="0" w:space="0" w:color="auto"/>
        <w:right w:val="none" w:sz="0" w:space="0" w:color="auto"/>
      </w:divBdr>
      <w:divsChild>
        <w:div w:id="1040009800">
          <w:marLeft w:val="0"/>
          <w:marRight w:val="0"/>
          <w:marTop w:val="0"/>
          <w:marBottom w:val="0"/>
          <w:divBdr>
            <w:top w:val="none" w:sz="0" w:space="0" w:color="auto"/>
            <w:left w:val="none" w:sz="0" w:space="0" w:color="auto"/>
            <w:bottom w:val="none" w:sz="0" w:space="0" w:color="auto"/>
            <w:right w:val="none" w:sz="0" w:space="0" w:color="auto"/>
          </w:divBdr>
          <w:divsChild>
            <w:div w:id="909272032">
              <w:marLeft w:val="0"/>
              <w:marRight w:val="0"/>
              <w:marTop w:val="0"/>
              <w:marBottom w:val="0"/>
              <w:divBdr>
                <w:top w:val="none" w:sz="0" w:space="0" w:color="auto"/>
                <w:left w:val="none" w:sz="0" w:space="0" w:color="auto"/>
                <w:bottom w:val="none" w:sz="0" w:space="0" w:color="auto"/>
                <w:right w:val="none" w:sz="0" w:space="0" w:color="auto"/>
              </w:divBdr>
              <w:divsChild>
                <w:div w:id="1598948931">
                  <w:marLeft w:val="0"/>
                  <w:marRight w:val="0"/>
                  <w:marTop w:val="0"/>
                  <w:marBottom w:val="0"/>
                  <w:divBdr>
                    <w:top w:val="none" w:sz="0" w:space="0" w:color="auto"/>
                    <w:left w:val="none" w:sz="0" w:space="0" w:color="auto"/>
                    <w:bottom w:val="none" w:sz="0" w:space="0" w:color="auto"/>
                    <w:right w:val="none" w:sz="0" w:space="0" w:color="auto"/>
                  </w:divBdr>
                  <w:divsChild>
                    <w:div w:id="1526946381">
                      <w:marLeft w:val="0"/>
                      <w:marRight w:val="0"/>
                      <w:marTop w:val="0"/>
                      <w:marBottom w:val="0"/>
                      <w:divBdr>
                        <w:top w:val="none" w:sz="0" w:space="0" w:color="auto"/>
                        <w:left w:val="none" w:sz="0" w:space="0" w:color="auto"/>
                        <w:bottom w:val="none" w:sz="0" w:space="0" w:color="auto"/>
                        <w:right w:val="none" w:sz="0" w:space="0" w:color="auto"/>
                      </w:divBdr>
                      <w:divsChild>
                        <w:div w:id="555625170">
                          <w:marLeft w:val="0"/>
                          <w:marRight w:val="0"/>
                          <w:marTop w:val="0"/>
                          <w:marBottom w:val="0"/>
                          <w:divBdr>
                            <w:top w:val="none" w:sz="0" w:space="0" w:color="auto"/>
                            <w:left w:val="none" w:sz="0" w:space="0" w:color="auto"/>
                            <w:bottom w:val="none" w:sz="0" w:space="0" w:color="auto"/>
                            <w:right w:val="none" w:sz="0" w:space="0" w:color="auto"/>
                          </w:divBdr>
                          <w:divsChild>
                            <w:div w:id="1660695166">
                              <w:marLeft w:val="0"/>
                              <w:marRight w:val="0"/>
                              <w:marTop w:val="0"/>
                              <w:marBottom w:val="0"/>
                              <w:divBdr>
                                <w:top w:val="none" w:sz="0" w:space="0" w:color="auto"/>
                                <w:left w:val="none" w:sz="0" w:space="0" w:color="auto"/>
                                <w:bottom w:val="none" w:sz="0" w:space="0" w:color="auto"/>
                                <w:right w:val="none" w:sz="0" w:space="0" w:color="auto"/>
                              </w:divBdr>
                              <w:divsChild>
                                <w:div w:id="1470130566">
                                  <w:marLeft w:val="0"/>
                                  <w:marRight w:val="0"/>
                                  <w:marTop w:val="0"/>
                                  <w:marBottom w:val="0"/>
                                  <w:divBdr>
                                    <w:top w:val="none" w:sz="0" w:space="0" w:color="auto"/>
                                    <w:left w:val="none" w:sz="0" w:space="0" w:color="auto"/>
                                    <w:bottom w:val="none" w:sz="0" w:space="0" w:color="auto"/>
                                    <w:right w:val="none" w:sz="0" w:space="0" w:color="auto"/>
                                  </w:divBdr>
                                  <w:divsChild>
                                    <w:div w:id="1880121013">
                                      <w:marLeft w:val="-120"/>
                                      <w:marRight w:val="-120"/>
                                      <w:marTop w:val="0"/>
                                      <w:marBottom w:val="0"/>
                                      <w:divBdr>
                                        <w:top w:val="none" w:sz="0" w:space="0" w:color="auto"/>
                                        <w:left w:val="none" w:sz="0" w:space="0" w:color="auto"/>
                                        <w:bottom w:val="none" w:sz="0" w:space="0" w:color="auto"/>
                                        <w:right w:val="none" w:sz="0" w:space="0" w:color="auto"/>
                                      </w:divBdr>
                                      <w:divsChild>
                                        <w:div w:id="81802667">
                                          <w:marLeft w:val="0"/>
                                          <w:marRight w:val="0"/>
                                          <w:marTop w:val="0"/>
                                          <w:marBottom w:val="0"/>
                                          <w:divBdr>
                                            <w:top w:val="none" w:sz="0" w:space="0" w:color="auto"/>
                                            <w:left w:val="none" w:sz="0" w:space="0" w:color="auto"/>
                                            <w:bottom w:val="none" w:sz="0" w:space="0" w:color="auto"/>
                                            <w:right w:val="none" w:sz="0" w:space="0" w:color="auto"/>
                                          </w:divBdr>
                                          <w:divsChild>
                                            <w:div w:id="836262688">
                                              <w:marLeft w:val="0"/>
                                              <w:marRight w:val="0"/>
                                              <w:marTop w:val="0"/>
                                              <w:marBottom w:val="0"/>
                                              <w:divBdr>
                                                <w:top w:val="none" w:sz="0" w:space="0" w:color="auto"/>
                                                <w:left w:val="none" w:sz="0" w:space="0" w:color="auto"/>
                                                <w:bottom w:val="none" w:sz="0" w:space="0" w:color="auto"/>
                                                <w:right w:val="none" w:sz="0" w:space="0" w:color="auto"/>
                                              </w:divBdr>
                                              <w:divsChild>
                                                <w:div w:id="1555506573">
                                                  <w:marLeft w:val="0"/>
                                                  <w:marRight w:val="0"/>
                                                  <w:marTop w:val="0"/>
                                                  <w:marBottom w:val="0"/>
                                                  <w:divBdr>
                                                    <w:top w:val="none" w:sz="0" w:space="0" w:color="auto"/>
                                                    <w:left w:val="none" w:sz="0" w:space="0" w:color="auto"/>
                                                    <w:bottom w:val="none" w:sz="0" w:space="0" w:color="auto"/>
                                                    <w:right w:val="none" w:sz="0" w:space="0" w:color="auto"/>
                                                  </w:divBdr>
                                                  <w:divsChild>
                                                    <w:div w:id="1640918326">
                                                      <w:marLeft w:val="0"/>
                                                      <w:marRight w:val="0"/>
                                                      <w:marTop w:val="0"/>
                                                      <w:marBottom w:val="0"/>
                                                      <w:divBdr>
                                                        <w:top w:val="none" w:sz="0" w:space="0" w:color="auto"/>
                                                        <w:left w:val="none" w:sz="0" w:space="0" w:color="auto"/>
                                                        <w:bottom w:val="none" w:sz="0" w:space="0" w:color="auto"/>
                                                        <w:right w:val="none" w:sz="0" w:space="0" w:color="auto"/>
                                                      </w:divBdr>
                                                      <w:divsChild>
                                                        <w:div w:id="1571185807">
                                                          <w:marLeft w:val="0"/>
                                                          <w:marRight w:val="0"/>
                                                          <w:marTop w:val="0"/>
                                                          <w:marBottom w:val="0"/>
                                                          <w:divBdr>
                                                            <w:top w:val="none" w:sz="0" w:space="0" w:color="auto"/>
                                                            <w:left w:val="none" w:sz="0" w:space="0" w:color="auto"/>
                                                            <w:bottom w:val="none" w:sz="0" w:space="0" w:color="auto"/>
                                                            <w:right w:val="none" w:sz="0" w:space="0" w:color="auto"/>
                                                          </w:divBdr>
                                                          <w:divsChild>
                                                            <w:div w:id="2045251177">
                                                              <w:marLeft w:val="0"/>
                                                              <w:marRight w:val="0"/>
                                                              <w:marTop w:val="0"/>
                                                              <w:marBottom w:val="0"/>
                                                              <w:divBdr>
                                                                <w:top w:val="none" w:sz="0" w:space="0" w:color="auto"/>
                                                                <w:left w:val="none" w:sz="0" w:space="0" w:color="auto"/>
                                                                <w:bottom w:val="none" w:sz="0" w:space="0" w:color="auto"/>
                                                                <w:right w:val="none" w:sz="0" w:space="0" w:color="auto"/>
                                                              </w:divBdr>
                                                              <w:divsChild>
                                                                <w:div w:id="1933857307">
                                                                  <w:marLeft w:val="0"/>
                                                                  <w:marRight w:val="0"/>
                                                                  <w:marTop w:val="0"/>
                                                                  <w:marBottom w:val="0"/>
                                                                  <w:divBdr>
                                                                    <w:top w:val="none" w:sz="0" w:space="0" w:color="auto"/>
                                                                    <w:left w:val="none" w:sz="0" w:space="0" w:color="auto"/>
                                                                    <w:bottom w:val="none" w:sz="0" w:space="0" w:color="auto"/>
                                                                    <w:right w:val="none" w:sz="0" w:space="0" w:color="auto"/>
                                                                  </w:divBdr>
                                                                  <w:divsChild>
                                                                    <w:div w:id="1410035990">
                                                                      <w:marLeft w:val="840"/>
                                                                      <w:marRight w:val="0"/>
                                                                      <w:marTop w:val="0"/>
                                                                      <w:marBottom w:val="0"/>
                                                                      <w:divBdr>
                                                                        <w:top w:val="none" w:sz="0" w:space="0" w:color="auto"/>
                                                                        <w:left w:val="none" w:sz="0" w:space="0" w:color="auto"/>
                                                                        <w:bottom w:val="none" w:sz="0" w:space="0" w:color="auto"/>
                                                                        <w:right w:val="none" w:sz="0" w:space="0" w:color="auto"/>
                                                                      </w:divBdr>
                                                                      <w:divsChild>
                                                                        <w:div w:id="782653118">
                                                                          <w:marLeft w:val="0"/>
                                                                          <w:marRight w:val="0"/>
                                                                          <w:marTop w:val="0"/>
                                                                          <w:marBottom w:val="0"/>
                                                                          <w:divBdr>
                                                                            <w:top w:val="none" w:sz="0" w:space="0" w:color="auto"/>
                                                                            <w:left w:val="none" w:sz="0" w:space="0" w:color="auto"/>
                                                                            <w:bottom w:val="none" w:sz="0" w:space="0" w:color="auto"/>
                                                                            <w:right w:val="none" w:sz="0" w:space="0" w:color="auto"/>
                                                                          </w:divBdr>
                                                                          <w:divsChild>
                                                                            <w:div w:id="100222712">
                                                                              <w:marLeft w:val="0"/>
                                                                              <w:marRight w:val="0"/>
                                                                              <w:marTop w:val="0"/>
                                                                              <w:marBottom w:val="45"/>
                                                                              <w:divBdr>
                                                                                <w:top w:val="none" w:sz="0" w:space="0" w:color="auto"/>
                                                                                <w:left w:val="none" w:sz="0" w:space="0" w:color="auto"/>
                                                                                <w:bottom w:val="none" w:sz="0" w:space="0" w:color="auto"/>
                                                                                <w:right w:val="none" w:sz="0" w:space="0" w:color="auto"/>
                                                                              </w:divBdr>
                                                                              <w:divsChild>
                                                                                <w:div w:id="2105607081">
                                                                                  <w:marLeft w:val="0"/>
                                                                                  <w:marRight w:val="0"/>
                                                                                  <w:marTop w:val="0"/>
                                                                                  <w:marBottom w:val="0"/>
                                                                                  <w:divBdr>
                                                                                    <w:top w:val="none" w:sz="0" w:space="0" w:color="auto"/>
                                                                                    <w:left w:val="none" w:sz="0" w:space="0" w:color="auto"/>
                                                                                    <w:bottom w:val="none" w:sz="0" w:space="0" w:color="auto"/>
                                                                                    <w:right w:val="none" w:sz="0" w:space="0" w:color="auto"/>
                                                                                  </w:divBdr>
                                                                                  <w:divsChild>
                                                                                    <w:div w:id="1361512245">
                                                                                      <w:marLeft w:val="0"/>
                                                                                      <w:marRight w:val="0"/>
                                                                                      <w:marTop w:val="0"/>
                                                                                      <w:marBottom w:val="0"/>
                                                                                      <w:divBdr>
                                                                                        <w:top w:val="none" w:sz="0" w:space="0" w:color="auto"/>
                                                                                        <w:left w:val="none" w:sz="0" w:space="0" w:color="auto"/>
                                                                                        <w:bottom w:val="none" w:sz="0" w:space="0" w:color="auto"/>
                                                                                        <w:right w:val="none" w:sz="0" w:space="0" w:color="auto"/>
                                                                                      </w:divBdr>
                                                                                      <w:divsChild>
                                                                                        <w:div w:id="48466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3064917">
      <w:bodyDiv w:val="1"/>
      <w:marLeft w:val="0"/>
      <w:marRight w:val="0"/>
      <w:marTop w:val="0"/>
      <w:marBottom w:val="0"/>
      <w:divBdr>
        <w:top w:val="none" w:sz="0" w:space="0" w:color="auto"/>
        <w:left w:val="none" w:sz="0" w:space="0" w:color="auto"/>
        <w:bottom w:val="none" w:sz="0" w:space="0" w:color="auto"/>
        <w:right w:val="none" w:sz="0" w:space="0" w:color="auto"/>
      </w:divBdr>
      <w:divsChild>
        <w:div w:id="412630326">
          <w:marLeft w:val="0"/>
          <w:marRight w:val="0"/>
          <w:marTop w:val="0"/>
          <w:marBottom w:val="0"/>
          <w:divBdr>
            <w:top w:val="none" w:sz="0" w:space="0" w:color="auto"/>
            <w:left w:val="none" w:sz="0" w:space="0" w:color="auto"/>
            <w:bottom w:val="none" w:sz="0" w:space="0" w:color="auto"/>
            <w:right w:val="none" w:sz="0" w:space="0" w:color="auto"/>
          </w:divBdr>
        </w:div>
      </w:divsChild>
    </w:div>
    <w:div w:id="1481924916">
      <w:bodyDiv w:val="1"/>
      <w:marLeft w:val="0"/>
      <w:marRight w:val="0"/>
      <w:marTop w:val="0"/>
      <w:marBottom w:val="0"/>
      <w:divBdr>
        <w:top w:val="none" w:sz="0" w:space="0" w:color="auto"/>
        <w:left w:val="none" w:sz="0" w:space="0" w:color="auto"/>
        <w:bottom w:val="none" w:sz="0" w:space="0" w:color="auto"/>
        <w:right w:val="none" w:sz="0" w:space="0" w:color="auto"/>
      </w:divBdr>
    </w:div>
    <w:div w:id="1540506946">
      <w:bodyDiv w:val="1"/>
      <w:marLeft w:val="0"/>
      <w:marRight w:val="0"/>
      <w:marTop w:val="0"/>
      <w:marBottom w:val="0"/>
      <w:divBdr>
        <w:top w:val="none" w:sz="0" w:space="0" w:color="auto"/>
        <w:left w:val="none" w:sz="0" w:space="0" w:color="auto"/>
        <w:bottom w:val="none" w:sz="0" w:space="0" w:color="auto"/>
        <w:right w:val="none" w:sz="0" w:space="0" w:color="auto"/>
      </w:divBdr>
      <w:divsChild>
        <w:div w:id="1338070485">
          <w:marLeft w:val="0"/>
          <w:marRight w:val="0"/>
          <w:marTop w:val="0"/>
          <w:marBottom w:val="0"/>
          <w:divBdr>
            <w:top w:val="none" w:sz="0" w:space="0" w:color="auto"/>
            <w:left w:val="none" w:sz="0" w:space="0" w:color="auto"/>
            <w:bottom w:val="none" w:sz="0" w:space="0" w:color="auto"/>
            <w:right w:val="none" w:sz="0" w:space="0" w:color="auto"/>
          </w:divBdr>
          <w:divsChild>
            <w:div w:id="84572978">
              <w:marLeft w:val="0"/>
              <w:marRight w:val="0"/>
              <w:marTop w:val="0"/>
              <w:marBottom w:val="0"/>
              <w:divBdr>
                <w:top w:val="none" w:sz="0" w:space="0" w:color="auto"/>
                <w:left w:val="none" w:sz="0" w:space="0" w:color="auto"/>
                <w:bottom w:val="none" w:sz="0" w:space="0" w:color="auto"/>
                <w:right w:val="none" w:sz="0" w:space="0" w:color="auto"/>
              </w:divBdr>
              <w:divsChild>
                <w:div w:id="63368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94028">
      <w:bodyDiv w:val="1"/>
      <w:marLeft w:val="0"/>
      <w:marRight w:val="0"/>
      <w:marTop w:val="0"/>
      <w:marBottom w:val="0"/>
      <w:divBdr>
        <w:top w:val="none" w:sz="0" w:space="0" w:color="auto"/>
        <w:left w:val="none" w:sz="0" w:space="0" w:color="auto"/>
        <w:bottom w:val="none" w:sz="0" w:space="0" w:color="auto"/>
        <w:right w:val="none" w:sz="0" w:space="0" w:color="auto"/>
      </w:divBdr>
    </w:div>
    <w:div w:id="1561819791">
      <w:bodyDiv w:val="1"/>
      <w:marLeft w:val="0"/>
      <w:marRight w:val="0"/>
      <w:marTop w:val="0"/>
      <w:marBottom w:val="0"/>
      <w:divBdr>
        <w:top w:val="none" w:sz="0" w:space="0" w:color="auto"/>
        <w:left w:val="none" w:sz="0" w:space="0" w:color="auto"/>
        <w:bottom w:val="none" w:sz="0" w:space="0" w:color="auto"/>
        <w:right w:val="none" w:sz="0" w:space="0" w:color="auto"/>
      </w:divBdr>
    </w:div>
    <w:div w:id="1606107849">
      <w:bodyDiv w:val="1"/>
      <w:marLeft w:val="0"/>
      <w:marRight w:val="0"/>
      <w:marTop w:val="0"/>
      <w:marBottom w:val="0"/>
      <w:divBdr>
        <w:top w:val="none" w:sz="0" w:space="0" w:color="auto"/>
        <w:left w:val="none" w:sz="0" w:space="0" w:color="auto"/>
        <w:bottom w:val="none" w:sz="0" w:space="0" w:color="auto"/>
        <w:right w:val="none" w:sz="0" w:space="0" w:color="auto"/>
      </w:divBdr>
    </w:div>
    <w:div w:id="1637568987">
      <w:bodyDiv w:val="1"/>
      <w:marLeft w:val="0"/>
      <w:marRight w:val="0"/>
      <w:marTop w:val="0"/>
      <w:marBottom w:val="0"/>
      <w:divBdr>
        <w:top w:val="none" w:sz="0" w:space="0" w:color="auto"/>
        <w:left w:val="none" w:sz="0" w:space="0" w:color="auto"/>
        <w:bottom w:val="none" w:sz="0" w:space="0" w:color="auto"/>
        <w:right w:val="none" w:sz="0" w:space="0" w:color="auto"/>
      </w:divBdr>
    </w:div>
    <w:div w:id="1700084165">
      <w:bodyDiv w:val="1"/>
      <w:marLeft w:val="0"/>
      <w:marRight w:val="0"/>
      <w:marTop w:val="0"/>
      <w:marBottom w:val="0"/>
      <w:divBdr>
        <w:top w:val="none" w:sz="0" w:space="0" w:color="auto"/>
        <w:left w:val="none" w:sz="0" w:space="0" w:color="auto"/>
        <w:bottom w:val="none" w:sz="0" w:space="0" w:color="auto"/>
        <w:right w:val="none" w:sz="0" w:space="0" w:color="auto"/>
      </w:divBdr>
      <w:divsChild>
        <w:div w:id="475684700">
          <w:marLeft w:val="0"/>
          <w:marRight w:val="0"/>
          <w:marTop w:val="0"/>
          <w:marBottom w:val="0"/>
          <w:divBdr>
            <w:top w:val="none" w:sz="0" w:space="0" w:color="auto"/>
            <w:left w:val="none" w:sz="0" w:space="0" w:color="auto"/>
            <w:bottom w:val="none" w:sz="0" w:space="0" w:color="auto"/>
            <w:right w:val="none" w:sz="0" w:space="0" w:color="auto"/>
          </w:divBdr>
          <w:divsChild>
            <w:div w:id="1154033781">
              <w:marLeft w:val="0"/>
              <w:marRight w:val="0"/>
              <w:marTop w:val="0"/>
              <w:marBottom w:val="0"/>
              <w:divBdr>
                <w:top w:val="none" w:sz="0" w:space="0" w:color="auto"/>
                <w:left w:val="none" w:sz="0" w:space="0" w:color="auto"/>
                <w:bottom w:val="none" w:sz="0" w:space="0" w:color="auto"/>
                <w:right w:val="none" w:sz="0" w:space="0" w:color="auto"/>
              </w:divBdr>
              <w:divsChild>
                <w:div w:id="85466045">
                  <w:marLeft w:val="0"/>
                  <w:marRight w:val="0"/>
                  <w:marTop w:val="0"/>
                  <w:marBottom w:val="0"/>
                  <w:divBdr>
                    <w:top w:val="none" w:sz="0" w:space="0" w:color="auto"/>
                    <w:left w:val="none" w:sz="0" w:space="0" w:color="auto"/>
                    <w:bottom w:val="none" w:sz="0" w:space="0" w:color="auto"/>
                    <w:right w:val="none" w:sz="0" w:space="0" w:color="auto"/>
                  </w:divBdr>
                  <w:divsChild>
                    <w:div w:id="159276536">
                      <w:marLeft w:val="0"/>
                      <w:marRight w:val="0"/>
                      <w:marTop w:val="0"/>
                      <w:marBottom w:val="0"/>
                      <w:divBdr>
                        <w:top w:val="none" w:sz="0" w:space="0" w:color="auto"/>
                        <w:left w:val="none" w:sz="0" w:space="0" w:color="auto"/>
                        <w:bottom w:val="none" w:sz="0" w:space="0" w:color="auto"/>
                        <w:right w:val="none" w:sz="0" w:space="0" w:color="auto"/>
                      </w:divBdr>
                      <w:divsChild>
                        <w:div w:id="1647470366">
                          <w:marLeft w:val="0"/>
                          <w:marRight w:val="0"/>
                          <w:marTop w:val="0"/>
                          <w:marBottom w:val="0"/>
                          <w:divBdr>
                            <w:top w:val="none" w:sz="0" w:space="0" w:color="auto"/>
                            <w:left w:val="none" w:sz="0" w:space="0" w:color="auto"/>
                            <w:bottom w:val="none" w:sz="0" w:space="0" w:color="auto"/>
                            <w:right w:val="none" w:sz="0" w:space="0" w:color="auto"/>
                          </w:divBdr>
                          <w:divsChild>
                            <w:div w:id="1880044150">
                              <w:marLeft w:val="0"/>
                              <w:marRight w:val="0"/>
                              <w:marTop w:val="0"/>
                              <w:marBottom w:val="0"/>
                              <w:divBdr>
                                <w:top w:val="none" w:sz="0" w:space="0" w:color="auto"/>
                                <w:left w:val="none" w:sz="0" w:space="0" w:color="auto"/>
                                <w:bottom w:val="none" w:sz="0" w:space="0" w:color="auto"/>
                                <w:right w:val="none" w:sz="0" w:space="0" w:color="auto"/>
                              </w:divBdr>
                              <w:divsChild>
                                <w:div w:id="927350721">
                                  <w:marLeft w:val="0"/>
                                  <w:marRight w:val="0"/>
                                  <w:marTop w:val="0"/>
                                  <w:marBottom w:val="0"/>
                                  <w:divBdr>
                                    <w:top w:val="none" w:sz="0" w:space="0" w:color="auto"/>
                                    <w:left w:val="none" w:sz="0" w:space="0" w:color="auto"/>
                                    <w:bottom w:val="none" w:sz="0" w:space="0" w:color="auto"/>
                                    <w:right w:val="none" w:sz="0" w:space="0" w:color="auto"/>
                                  </w:divBdr>
                                  <w:divsChild>
                                    <w:div w:id="1456558477">
                                      <w:marLeft w:val="-120"/>
                                      <w:marRight w:val="-120"/>
                                      <w:marTop w:val="0"/>
                                      <w:marBottom w:val="0"/>
                                      <w:divBdr>
                                        <w:top w:val="none" w:sz="0" w:space="0" w:color="auto"/>
                                        <w:left w:val="none" w:sz="0" w:space="0" w:color="auto"/>
                                        <w:bottom w:val="none" w:sz="0" w:space="0" w:color="auto"/>
                                        <w:right w:val="none" w:sz="0" w:space="0" w:color="auto"/>
                                      </w:divBdr>
                                      <w:divsChild>
                                        <w:div w:id="419638484">
                                          <w:marLeft w:val="0"/>
                                          <w:marRight w:val="0"/>
                                          <w:marTop w:val="0"/>
                                          <w:marBottom w:val="0"/>
                                          <w:divBdr>
                                            <w:top w:val="none" w:sz="0" w:space="0" w:color="auto"/>
                                            <w:left w:val="none" w:sz="0" w:space="0" w:color="auto"/>
                                            <w:bottom w:val="none" w:sz="0" w:space="0" w:color="auto"/>
                                            <w:right w:val="none" w:sz="0" w:space="0" w:color="auto"/>
                                          </w:divBdr>
                                          <w:divsChild>
                                            <w:div w:id="803817121">
                                              <w:marLeft w:val="0"/>
                                              <w:marRight w:val="0"/>
                                              <w:marTop w:val="0"/>
                                              <w:marBottom w:val="0"/>
                                              <w:divBdr>
                                                <w:top w:val="none" w:sz="0" w:space="0" w:color="auto"/>
                                                <w:left w:val="none" w:sz="0" w:space="0" w:color="auto"/>
                                                <w:bottom w:val="none" w:sz="0" w:space="0" w:color="auto"/>
                                                <w:right w:val="none" w:sz="0" w:space="0" w:color="auto"/>
                                              </w:divBdr>
                                              <w:divsChild>
                                                <w:div w:id="1182472532">
                                                  <w:marLeft w:val="0"/>
                                                  <w:marRight w:val="0"/>
                                                  <w:marTop w:val="0"/>
                                                  <w:marBottom w:val="0"/>
                                                  <w:divBdr>
                                                    <w:top w:val="none" w:sz="0" w:space="0" w:color="auto"/>
                                                    <w:left w:val="none" w:sz="0" w:space="0" w:color="auto"/>
                                                    <w:bottom w:val="none" w:sz="0" w:space="0" w:color="auto"/>
                                                    <w:right w:val="none" w:sz="0" w:space="0" w:color="auto"/>
                                                  </w:divBdr>
                                                  <w:divsChild>
                                                    <w:div w:id="1426919874">
                                                      <w:marLeft w:val="0"/>
                                                      <w:marRight w:val="0"/>
                                                      <w:marTop w:val="0"/>
                                                      <w:marBottom w:val="0"/>
                                                      <w:divBdr>
                                                        <w:top w:val="none" w:sz="0" w:space="0" w:color="auto"/>
                                                        <w:left w:val="none" w:sz="0" w:space="0" w:color="auto"/>
                                                        <w:bottom w:val="none" w:sz="0" w:space="0" w:color="auto"/>
                                                        <w:right w:val="none" w:sz="0" w:space="0" w:color="auto"/>
                                                      </w:divBdr>
                                                      <w:divsChild>
                                                        <w:div w:id="2054304954">
                                                          <w:marLeft w:val="0"/>
                                                          <w:marRight w:val="0"/>
                                                          <w:marTop w:val="0"/>
                                                          <w:marBottom w:val="0"/>
                                                          <w:divBdr>
                                                            <w:top w:val="none" w:sz="0" w:space="0" w:color="auto"/>
                                                            <w:left w:val="none" w:sz="0" w:space="0" w:color="auto"/>
                                                            <w:bottom w:val="none" w:sz="0" w:space="0" w:color="auto"/>
                                                            <w:right w:val="none" w:sz="0" w:space="0" w:color="auto"/>
                                                          </w:divBdr>
                                                          <w:divsChild>
                                                            <w:div w:id="555118696">
                                                              <w:marLeft w:val="0"/>
                                                              <w:marRight w:val="0"/>
                                                              <w:marTop w:val="0"/>
                                                              <w:marBottom w:val="0"/>
                                                              <w:divBdr>
                                                                <w:top w:val="none" w:sz="0" w:space="0" w:color="auto"/>
                                                                <w:left w:val="none" w:sz="0" w:space="0" w:color="auto"/>
                                                                <w:bottom w:val="none" w:sz="0" w:space="0" w:color="auto"/>
                                                                <w:right w:val="none" w:sz="0" w:space="0" w:color="auto"/>
                                                              </w:divBdr>
                                                              <w:divsChild>
                                                                <w:div w:id="1460297539">
                                                                  <w:marLeft w:val="0"/>
                                                                  <w:marRight w:val="0"/>
                                                                  <w:marTop w:val="0"/>
                                                                  <w:marBottom w:val="0"/>
                                                                  <w:divBdr>
                                                                    <w:top w:val="none" w:sz="0" w:space="0" w:color="auto"/>
                                                                    <w:left w:val="none" w:sz="0" w:space="0" w:color="auto"/>
                                                                    <w:bottom w:val="none" w:sz="0" w:space="0" w:color="auto"/>
                                                                    <w:right w:val="none" w:sz="0" w:space="0" w:color="auto"/>
                                                                  </w:divBdr>
                                                                  <w:divsChild>
                                                                    <w:div w:id="416482723">
                                                                      <w:marLeft w:val="840"/>
                                                                      <w:marRight w:val="0"/>
                                                                      <w:marTop w:val="0"/>
                                                                      <w:marBottom w:val="0"/>
                                                                      <w:divBdr>
                                                                        <w:top w:val="none" w:sz="0" w:space="0" w:color="auto"/>
                                                                        <w:left w:val="none" w:sz="0" w:space="0" w:color="auto"/>
                                                                        <w:bottom w:val="none" w:sz="0" w:space="0" w:color="auto"/>
                                                                        <w:right w:val="none" w:sz="0" w:space="0" w:color="auto"/>
                                                                      </w:divBdr>
                                                                      <w:divsChild>
                                                                        <w:div w:id="1008872051">
                                                                          <w:marLeft w:val="0"/>
                                                                          <w:marRight w:val="0"/>
                                                                          <w:marTop w:val="0"/>
                                                                          <w:marBottom w:val="0"/>
                                                                          <w:divBdr>
                                                                            <w:top w:val="none" w:sz="0" w:space="0" w:color="auto"/>
                                                                            <w:left w:val="none" w:sz="0" w:space="0" w:color="auto"/>
                                                                            <w:bottom w:val="none" w:sz="0" w:space="0" w:color="auto"/>
                                                                            <w:right w:val="none" w:sz="0" w:space="0" w:color="auto"/>
                                                                          </w:divBdr>
                                                                          <w:divsChild>
                                                                            <w:div w:id="1792937559">
                                                                              <w:marLeft w:val="0"/>
                                                                              <w:marRight w:val="0"/>
                                                                              <w:marTop w:val="0"/>
                                                                              <w:marBottom w:val="45"/>
                                                                              <w:divBdr>
                                                                                <w:top w:val="none" w:sz="0" w:space="0" w:color="auto"/>
                                                                                <w:left w:val="none" w:sz="0" w:space="0" w:color="auto"/>
                                                                                <w:bottom w:val="none" w:sz="0" w:space="0" w:color="auto"/>
                                                                                <w:right w:val="none" w:sz="0" w:space="0" w:color="auto"/>
                                                                              </w:divBdr>
                                                                              <w:divsChild>
                                                                                <w:div w:id="78253853">
                                                                                  <w:marLeft w:val="0"/>
                                                                                  <w:marRight w:val="0"/>
                                                                                  <w:marTop w:val="0"/>
                                                                                  <w:marBottom w:val="0"/>
                                                                                  <w:divBdr>
                                                                                    <w:top w:val="none" w:sz="0" w:space="0" w:color="auto"/>
                                                                                    <w:left w:val="none" w:sz="0" w:space="0" w:color="auto"/>
                                                                                    <w:bottom w:val="none" w:sz="0" w:space="0" w:color="auto"/>
                                                                                    <w:right w:val="none" w:sz="0" w:space="0" w:color="auto"/>
                                                                                  </w:divBdr>
                                                                                  <w:divsChild>
                                                                                    <w:div w:id="523789970">
                                                                                      <w:marLeft w:val="0"/>
                                                                                      <w:marRight w:val="0"/>
                                                                                      <w:marTop w:val="0"/>
                                                                                      <w:marBottom w:val="0"/>
                                                                                      <w:divBdr>
                                                                                        <w:top w:val="none" w:sz="0" w:space="0" w:color="auto"/>
                                                                                        <w:left w:val="none" w:sz="0" w:space="0" w:color="auto"/>
                                                                                        <w:bottom w:val="none" w:sz="0" w:space="0" w:color="auto"/>
                                                                                        <w:right w:val="none" w:sz="0" w:space="0" w:color="auto"/>
                                                                                      </w:divBdr>
                                                                                      <w:divsChild>
                                                                                        <w:div w:id="4781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9430635">
      <w:bodyDiv w:val="1"/>
      <w:marLeft w:val="0"/>
      <w:marRight w:val="0"/>
      <w:marTop w:val="0"/>
      <w:marBottom w:val="0"/>
      <w:divBdr>
        <w:top w:val="none" w:sz="0" w:space="0" w:color="auto"/>
        <w:left w:val="none" w:sz="0" w:space="0" w:color="auto"/>
        <w:bottom w:val="none" w:sz="0" w:space="0" w:color="auto"/>
        <w:right w:val="none" w:sz="0" w:space="0" w:color="auto"/>
      </w:divBdr>
    </w:div>
    <w:div w:id="1755131481">
      <w:bodyDiv w:val="1"/>
      <w:marLeft w:val="0"/>
      <w:marRight w:val="0"/>
      <w:marTop w:val="0"/>
      <w:marBottom w:val="0"/>
      <w:divBdr>
        <w:top w:val="none" w:sz="0" w:space="0" w:color="auto"/>
        <w:left w:val="none" w:sz="0" w:space="0" w:color="auto"/>
        <w:bottom w:val="none" w:sz="0" w:space="0" w:color="auto"/>
        <w:right w:val="none" w:sz="0" w:space="0" w:color="auto"/>
      </w:divBdr>
    </w:div>
    <w:div w:id="1760715814">
      <w:bodyDiv w:val="1"/>
      <w:marLeft w:val="0"/>
      <w:marRight w:val="0"/>
      <w:marTop w:val="0"/>
      <w:marBottom w:val="0"/>
      <w:divBdr>
        <w:top w:val="none" w:sz="0" w:space="0" w:color="auto"/>
        <w:left w:val="none" w:sz="0" w:space="0" w:color="auto"/>
        <w:bottom w:val="none" w:sz="0" w:space="0" w:color="auto"/>
        <w:right w:val="none" w:sz="0" w:space="0" w:color="auto"/>
      </w:divBdr>
    </w:div>
    <w:div w:id="1796293272">
      <w:bodyDiv w:val="1"/>
      <w:marLeft w:val="0"/>
      <w:marRight w:val="0"/>
      <w:marTop w:val="0"/>
      <w:marBottom w:val="0"/>
      <w:divBdr>
        <w:top w:val="none" w:sz="0" w:space="0" w:color="auto"/>
        <w:left w:val="none" w:sz="0" w:space="0" w:color="auto"/>
        <w:bottom w:val="none" w:sz="0" w:space="0" w:color="auto"/>
        <w:right w:val="none" w:sz="0" w:space="0" w:color="auto"/>
      </w:divBdr>
    </w:div>
    <w:div w:id="1808015183">
      <w:bodyDiv w:val="1"/>
      <w:marLeft w:val="0"/>
      <w:marRight w:val="0"/>
      <w:marTop w:val="0"/>
      <w:marBottom w:val="0"/>
      <w:divBdr>
        <w:top w:val="none" w:sz="0" w:space="0" w:color="auto"/>
        <w:left w:val="none" w:sz="0" w:space="0" w:color="auto"/>
        <w:bottom w:val="none" w:sz="0" w:space="0" w:color="auto"/>
        <w:right w:val="none" w:sz="0" w:space="0" w:color="auto"/>
      </w:divBdr>
    </w:div>
    <w:div w:id="1813669934">
      <w:bodyDiv w:val="1"/>
      <w:marLeft w:val="0"/>
      <w:marRight w:val="0"/>
      <w:marTop w:val="0"/>
      <w:marBottom w:val="0"/>
      <w:divBdr>
        <w:top w:val="none" w:sz="0" w:space="0" w:color="auto"/>
        <w:left w:val="none" w:sz="0" w:space="0" w:color="auto"/>
        <w:bottom w:val="none" w:sz="0" w:space="0" w:color="auto"/>
        <w:right w:val="none" w:sz="0" w:space="0" w:color="auto"/>
      </w:divBdr>
    </w:div>
    <w:div w:id="1829437770">
      <w:bodyDiv w:val="1"/>
      <w:marLeft w:val="0"/>
      <w:marRight w:val="0"/>
      <w:marTop w:val="0"/>
      <w:marBottom w:val="0"/>
      <w:divBdr>
        <w:top w:val="none" w:sz="0" w:space="0" w:color="auto"/>
        <w:left w:val="none" w:sz="0" w:space="0" w:color="auto"/>
        <w:bottom w:val="none" w:sz="0" w:space="0" w:color="auto"/>
        <w:right w:val="none" w:sz="0" w:space="0" w:color="auto"/>
      </w:divBdr>
      <w:divsChild>
        <w:div w:id="980959206">
          <w:marLeft w:val="0"/>
          <w:marRight w:val="0"/>
          <w:marTop w:val="0"/>
          <w:marBottom w:val="0"/>
          <w:divBdr>
            <w:top w:val="none" w:sz="0" w:space="0" w:color="auto"/>
            <w:left w:val="none" w:sz="0" w:space="0" w:color="auto"/>
            <w:bottom w:val="none" w:sz="0" w:space="0" w:color="auto"/>
            <w:right w:val="none" w:sz="0" w:space="0" w:color="auto"/>
          </w:divBdr>
          <w:divsChild>
            <w:div w:id="1311058908">
              <w:marLeft w:val="0"/>
              <w:marRight w:val="0"/>
              <w:marTop w:val="0"/>
              <w:marBottom w:val="0"/>
              <w:divBdr>
                <w:top w:val="none" w:sz="0" w:space="0" w:color="auto"/>
                <w:left w:val="none" w:sz="0" w:space="0" w:color="auto"/>
                <w:bottom w:val="none" w:sz="0" w:space="0" w:color="auto"/>
                <w:right w:val="none" w:sz="0" w:space="0" w:color="auto"/>
              </w:divBdr>
              <w:divsChild>
                <w:div w:id="1438908755">
                  <w:marLeft w:val="-150"/>
                  <w:marRight w:val="-150"/>
                  <w:marTop w:val="0"/>
                  <w:marBottom w:val="0"/>
                  <w:divBdr>
                    <w:top w:val="none" w:sz="0" w:space="0" w:color="auto"/>
                    <w:left w:val="none" w:sz="0" w:space="0" w:color="auto"/>
                    <w:bottom w:val="none" w:sz="0" w:space="0" w:color="auto"/>
                    <w:right w:val="none" w:sz="0" w:space="0" w:color="auto"/>
                  </w:divBdr>
                  <w:divsChild>
                    <w:div w:id="942684950">
                      <w:marLeft w:val="0"/>
                      <w:marRight w:val="0"/>
                      <w:marTop w:val="0"/>
                      <w:marBottom w:val="0"/>
                      <w:divBdr>
                        <w:top w:val="none" w:sz="0" w:space="0" w:color="auto"/>
                        <w:left w:val="none" w:sz="0" w:space="0" w:color="auto"/>
                        <w:bottom w:val="none" w:sz="0" w:space="0" w:color="auto"/>
                        <w:right w:val="none" w:sz="0" w:space="0" w:color="auto"/>
                      </w:divBdr>
                      <w:divsChild>
                        <w:div w:id="1239633600">
                          <w:marLeft w:val="0"/>
                          <w:marRight w:val="0"/>
                          <w:marTop w:val="0"/>
                          <w:marBottom w:val="0"/>
                          <w:divBdr>
                            <w:top w:val="none" w:sz="0" w:space="0" w:color="auto"/>
                            <w:left w:val="none" w:sz="0" w:space="0" w:color="auto"/>
                            <w:bottom w:val="none" w:sz="0" w:space="0" w:color="auto"/>
                            <w:right w:val="none" w:sz="0" w:space="0" w:color="auto"/>
                          </w:divBdr>
                          <w:divsChild>
                            <w:div w:id="229341755">
                              <w:marLeft w:val="0"/>
                              <w:marRight w:val="0"/>
                              <w:marTop w:val="0"/>
                              <w:marBottom w:val="0"/>
                              <w:divBdr>
                                <w:top w:val="none" w:sz="0" w:space="0" w:color="auto"/>
                                <w:left w:val="none" w:sz="0" w:space="0" w:color="auto"/>
                                <w:bottom w:val="none" w:sz="0" w:space="0" w:color="auto"/>
                                <w:right w:val="none" w:sz="0" w:space="0" w:color="auto"/>
                              </w:divBdr>
                              <w:divsChild>
                                <w:div w:id="1896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602483">
      <w:bodyDiv w:val="1"/>
      <w:marLeft w:val="0"/>
      <w:marRight w:val="0"/>
      <w:marTop w:val="0"/>
      <w:marBottom w:val="0"/>
      <w:divBdr>
        <w:top w:val="none" w:sz="0" w:space="0" w:color="auto"/>
        <w:left w:val="none" w:sz="0" w:space="0" w:color="auto"/>
        <w:bottom w:val="none" w:sz="0" w:space="0" w:color="auto"/>
        <w:right w:val="none" w:sz="0" w:space="0" w:color="auto"/>
      </w:divBdr>
      <w:divsChild>
        <w:div w:id="342897030">
          <w:marLeft w:val="0"/>
          <w:marRight w:val="0"/>
          <w:marTop w:val="0"/>
          <w:marBottom w:val="0"/>
          <w:divBdr>
            <w:top w:val="none" w:sz="0" w:space="0" w:color="auto"/>
            <w:left w:val="none" w:sz="0" w:space="0" w:color="auto"/>
            <w:bottom w:val="none" w:sz="0" w:space="0" w:color="auto"/>
            <w:right w:val="none" w:sz="0" w:space="0" w:color="auto"/>
          </w:divBdr>
          <w:divsChild>
            <w:div w:id="1193108374">
              <w:marLeft w:val="0"/>
              <w:marRight w:val="0"/>
              <w:marTop w:val="0"/>
              <w:marBottom w:val="0"/>
              <w:divBdr>
                <w:top w:val="none" w:sz="0" w:space="0" w:color="auto"/>
                <w:left w:val="none" w:sz="0" w:space="0" w:color="auto"/>
                <w:bottom w:val="none" w:sz="0" w:space="0" w:color="auto"/>
                <w:right w:val="none" w:sz="0" w:space="0" w:color="auto"/>
              </w:divBdr>
              <w:divsChild>
                <w:div w:id="1747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372802">
      <w:bodyDiv w:val="1"/>
      <w:marLeft w:val="0"/>
      <w:marRight w:val="0"/>
      <w:marTop w:val="0"/>
      <w:marBottom w:val="0"/>
      <w:divBdr>
        <w:top w:val="none" w:sz="0" w:space="0" w:color="auto"/>
        <w:left w:val="none" w:sz="0" w:space="0" w:color="auto"/>
        <w:bottom w:val="none" w:sz="0" w:space="0" w:color="auto"/>
        <w:right w:val="none" w:sz="0" w:space="0" w:color="auto"/>
      </w:divBdr>
    </w:div>
    <w:div w:id="1965888657">
      <w:bodyDiv w:val="1"/>
      <w:marLeft w:val="0"/>
      <w:marRight w:val="0"/>
      <w:marTop w:val="0"/>
      <w:marBottom w:val="0"/>
      <w:divBdr>
        <w:top w:val="none" w:sz="0" w:space="0" w:color="auto"/>
        <w:left w:val="none" w:sz="0" w:space="0" w:color="auto"/>
        <w:bottom w:val="none" w:sz="0" w:space="0" w:color="auto"/>
        <w:right w:val="none" w:sz="0" w:space="0" w:color="auto"/>
      </w:divBdr>
    </w:div>
    <w:div w:id="1969630681">
      <w:bodyDiv w:val="1"/>
      <w:marLeft w:val="0"/>
      <w:marRight w:val="0"/>
      <w:marTop w:val="0"/>
      <w:marBottom w:val="0"/>
      <w:divBdr>
        <w:top w:val="none" w:sz="0" w:space="0" w:color="auto"/>
        <w:left w:val="none" w:sz="0" w:space="0" w:color="auto"/>
        <w:bottom w:val="none" w:sz="0" w:space="0" w:color="auto"/>
        <w:right w:val="none" w:sz="0" w:space="0" w:color="auto"/>
      </w:divBdr>
    </w:div>
    <w:div w:id="2007710340">
      <w:bodyDiv w:val="1"/>
      <w:marLeft w:val="0"/>
      <w:marRight w:val="0"/>
      <w:marTop w:val="0"/>
      <w:marBottom w:val="0"/>
      <w:divBdr>
        <w:top w:val="none" w:sz="0" w:space="0" w:color="auto"/>
        <w:left w:val="none" w:sz="0" w:space="0" w:color="auto"/>
        <w:bottom w:val="none" w:sz="0" w:space="0" w:color="auto"/>
        <w:right w:val="none" w:sz="0" w:space="0" w:color="auto"/>
      </w:divBdr>
    </w:div>
    <w:div w:id="2022000606">
      <w:bodyDiv w:val="1"/>
      <w:marLeft w:val="0"/>
      <w:marRight w:val="0"/>
      <w:marTop w:val="0"/>
      <w:marBottom w:val="0"/>
      <w:divBdr>
        <w:top w:val="none" w:sz="0" w:space="0" w:color="auto"/>
        <w:left w:val="none" w:sz="0" w:space="0" w:color="auto"/>
        <w:bottom w:val="none" w:sz="0" w:space="0" w:color="auto"/>
        <w:right w:val="none" w:sz="0" w:space="0" w:color="auto"/>
      </w:divBdr>
    </w:div>
    <w:div w:id="2080512837">
      <w:bodyDiv w:val="1"/>
      <w:marLeft w:val="0"/>
      <w:marRight w:val="0"/>
      <w:marTop w:val="0"/>
      <w:marBottom w:val="0"/>
      <w:divBdr>
        <w:top w:val="none" w:sz="0" w:space="0" w:color="auto"/>
        <w:left w:val="none" w:sz="0" w:space="0" w:color="auto"/>
        <w:bottom w:val="none" w:sz="0" w:space="0" w:color="auto"/>
        <w:right w:val="none" w:sz="0" w:space="0" w:color="auto"/>
      </w:divBdr>
      <w:divsChild>
        <w:div w:id="519897331">
          <w:marLeft w:val="0"/>
          <w:marRight w:val="0"/>
          <w:marTop w:val="0"/>
          <w:marBottom w:val="0"/>
          <w:divBdr>
            <w:top w:val="none" w:sz="0" w:space="0" w:color="auto"/>
            <w:left w:val="none" w:sz="0" w:space="0" w:color="auto"/>
            <w:bottom w:val="none" w:sz="0" w:space="0" w:color="auto"/>
            <w:right w:val="none" w:sz="0" w:space="0" w:color="auto"/>
          </w:divBdr>
          <w:divsChild>
            <w:div w:id="1907639275">
              <w:marLeft w:val="0"/>
              <w:marRight w:val="0"/>
              <w:marTop w:val="0"/>
              <w:marBottom w:val="0"/>
              <w:divBdr>
                <w:top w:val="none" w:sz="0" w:space="0" w:color="auto"/>
                <w:left w:val="none" w:sz="0" w:space="0" w:color="auto"/>
                <w:bottom w:val="none" w:sz="0" w:space="0" w:color="auto"/>
                <w:right w:val="none" w:sz="0" w:space="0" w:color="auto"/>
              </w:divBdr>
              <w:divsChild>
                <w:div w:id="6453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ww.facebook.com/reel/1554053779099052" TargetMode="Externa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hyperlink" Target="https://zelenatranzicija.ba/en" TargetMode="External"/><Relationship Id="rId20" Type="http://schemas.openxmlformats.org/officeDocument/2006/relationships/image" Target="media/image8.jpeg"/><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5" Type="http://schemas.openxmlformats.org/officeDocument/2006/relationships/customXml" Target="../customXml/item5.xml"/><Relationship Id="rId15" Type="http://schemas.openxmlformats.org/officeDocument/2006/relationships/hyperlink" Target="https://vlada.ks.gov.ba/novosti/mapa-prava-i-usluga" TargetMode="External"/><Relationship Id="rId23" Type="http://schemas.openxmlformats.org/officeDocument/2006/relationships/hyperlink" Target="https://www.instagram.com/p/DSag4bBiDFG/?img_index=1&amp;igsh=Nzljam4xa2RwamJ1"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27"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bonjour.ba/moda/modne-vijesti/no-nation-fashion-kolekcija-bih-new-y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710DB5E2F47F041BDC4FBAA0C70E958" ma:contentTypeVersion="18" ma:contentTypeDescription="Create a new document." ma:contentTypeScope="" ma:versionID="e3178a66dbf594dcd2e691e837120026">
  <xsd:schema xmlns:xsd="http://www.w3.org/2001/XMLSchema" xmlns:xs="http://www.w3.org/2001/XMLSchema" xmlns:p="http://schemas.microsoft.com/office/2006/metadata/properties" xmlns:ns2="de777af5-75c5-4059-8842-b3ca2d118c77" xmlns:ns3="a823fd27-14cd-4f77-924c-3ac136c2f661" targetNamespace="http://schemas.microsoft.com/office/2006/metadata/properties" ma:root="true" ma:fieldsID="9c82db8f0b2d856b18b3e04c4be3ef97" ns2:_="" ns3:_="">
    <xsd:import namespace="de777af5-75c5-4059-8842-b3ca2d118c77"/>
    <xsd:import namespace="a823fd27-14cd-4f77-924c-3ac136c2f66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62b510-1f44-4fd5-9023-f2b66efc7d6f}" ma:internalName="TaxCatchAll" ma:showField="CatchAllData" ma:web="de777af5-75c5-4059-8842-b3ca2d118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23fd27-14cd-4f77-924c-3ac136c2f6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B0542 - Bosnia &amp; Herzegovina- Sarajevo</OfficeCountry>
    <DocumentStatus xmlns="d9cf0e28-81d2-4dc7-8b10-820d80ed680d">Final</DocumentStatus>
    <DocCoverageEndDate xmlns="d9cf0e28-81d2-4dc7-8b10-820d80ed680d">2026-02-28T05:00:00+00:00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SDG2BIH Final Progress Report</FileNameDescription>
    <ProjectNumber xmlns="d9cf0e28-81d2-4dc7-8b10-820d80ed680d">00128890</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UNDP-BIH</OperatingUnit>
    <FocusArea xmlns="d9cf0e28-81d2-4dc7-8b10-820d80ed680d">Democratic Governance</FocusArea>
    <DocCoverageStartDate xmlns="d9cf0e28-81d2-4dc7-8b10-820d80ed680d">2022-04-01T04:00:00+00:00</DocCoverageStartDate>
    <FileClassificationMode xmlns="d9cf0e28-81d2-4dc7-8b10-820d80ed680d">Public</FileClassificationMode>
    <OutputNumber xmlns="d9cf0e28-81d2-4dc7-8b10-820d80ed680d">00122734</OutputNumber>
  </documentManagement>
</p:properties>
</file>

<file path=customXml/itemProps1.xml><?xml version="1.0" encoding="utf-8"?>
<ds:datastoreItem xmlns:ds="http://schemas.openxmlformats.org/officeDocument/2006/customXml" ds:itemID="{7C7B24F5-BCA6-4C87-B4F3-62D525CC0A50}">
  <ds:schemaRefs>
    <ds:schemaRef ds:uri="http://schemas.microsoft.com/sharepoint/v3/contenttype/forms"/>
  </ds:schemaRefs>
</ds:datastoreItem>
</file>

<file path=customXml/itemProps2.xml><?xml version="1.0" encoding="utf-8"?>
<ds:datastoreItem xmlns:ds="http://schemas.openxmlformats.org/officeDocument/2006/customXml" ds:itemID="{6E6181F7-0D1D-4AC6-B19D-49AC0BAC0550}">
  <ds:schemaRefs>
    <ds:schemaRef ds:uri="http://schemas.openxmlformats.org/officeDocument/2006/bibliography"/>
  </ds:schemaRefs>
</ds:datastoreItem>
</file>

<file path=customXml/itemProps3.xml><?xml version="1.0" encoding="utf-8"?>
<ds:datastoreItem xmlns:ds="http://schemas.openxmlformats.org/officeDocument/2006/customXml" ds:itemID="{06542DAF-CA27-4481-84CD-B8DCA6A7E521}"/>
</file>

<file path=customXml/itemProps4.xml><?xml version="1.0" encoding="utf-8"?>
<ds:datastoreItem xmlns:ds="http://schemas.openxmlformats.org/officeDocument/2006/customXml" ds:itemID="{573F7A16-742A-40A0-AFBB-D4A1D18F6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77af5-75c5-4059-8842-b3ca2d118c77"/>
    <ds:schemaRef ds:uri="a823fd27-14cd-4f77-924c-3ac136c2f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A032D6-AC75-4970-B96C-AF70C47894AD}">
  <ds:schemaRefs>
    <ds:schemaRef ds:uri="http://schemas.microsoft.com/office/2006/metadata/properties"/>
    <ds:schemaRef ds:uri="http://schemas.microsoft.com/office/infopath/2007/PartnerControls"/>
    <ds:schemaRef ds:uri="de777af5-75c5-4059-8842-b3ca2d118c77"/>
    <ds:schemaRef ds:uri="a823fd27-14cd-4f77-924c-3ac136c2f661"/>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SDG2BIH Final Progress Report</dc:title>
  <dc:subject/>
  <dc:creator>Emir Adzovic</dc:creator>
  <cp:keywords/>
  <dc:description/>
  <cp:lastModifiedBy>Haris Daul</cp:lastModifiedBy>
  <cp:revision>3</cp:revision>
  <cp:lastPrinted>2024-07-05T11:08:00Z</cp:lastPrinted>
  <dcterms:created xsi:type="dcterms:W3CDTF">2026-05-04T14:10:00Z</dcterms:created>
  <dcterms:modified xsi:type="dcterms:W3CDTF">2026-05-26T12:46:48Z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483d319e-eab6-4c7e-8ca6-e9bdd69f4910</vt:lpwstr>
  </property>
  <property fmtid="{D5CDD505-2E9C-101B-9397-08002B2CF9AE}" pid="4" name="docLang">
    <vt:lpwstr>en</vt:lpwstr>
  </property>
  <property fmtid="{D5CDD505-2E9C-101B-9397-08002B2CF9AE}" pid="5" name="ContentTypeId">
    <vt:lpwstr>0x010100155F732436BD414ABE4F9007290F88BC</vt:lpwstr>
  </property>
  <property fmtid="{D5CDD505-2E9C-101B-9397-08002B2CF9AE}" pid="6" name="_dlc_DocIdItemGuid">
    <vt:lpwstr>8d642ded-ea3b-4a10-ae34-2aade3217932</vt:lpwstr>
  </property>
</Properties>
</file>